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69A4AD9C" w:rsidR="007A5B38" w:rsidRPr="00DA2B6D" w:rsidRDefault="007A5B38" w:rsidP="007A5B38">
      <w:pPr>
        <w:pStyle w:val="3GPPHeader"/>
        <w:rPr>
          <w:highlight w:val="yellow"/>
          <w:lang w:val="en-AU"/>
        </w:rPr>
      </w:pPr>
      <w:bookmarkStart w:id="0" w:name="_Hlk489988649"/>
      <w:bookmarkStart w:id="1" w:name="_GoBack"/>
      <w:bookmarkEnd w:id="0"/>
      <w:bookmarkEnd w:id="1"/>
      <w:r w:rsidRPr="00DA2B6D">
        <w:rPr>
          <w:lang w:val="en-AU"/>
        </w:rPr>
        <w:t>3GPP TSG-RAN WG1 NR Ad Hoc #3</w:t>
      </w:r>
      <w:r w:rsidRPr="00DA2B6D">
        <w:rPr>
          <w:lang w:val="en-AU"/>
        </w:rPr>
        <w:tab/>
      </w:r>
      <w:r w:rsidR="00BE7D66" w:rsidRPr="00BE7D66">
        <w:t>R1-1716606</w:t>
      </w:r>
    </w:p>
    <w:p w14:paraId="161050DA" w14:textId="77777777" w:rsidR="007A5B38" w:rsidRPr="00DA2B6D" w:rsidRDefault="007A5B38" w:rsidP="007A5B38">
      <w:pPr>
        <w:pStyle w:val="3GPPHeader"/>
        <w:rPr>
          <w:lang w:val="en-AU"/>
        </w:rPr>
      </w:pPr>
      <w:r w:rsidRPr="00DA2B6D">
        <w:rPr>
          <w:lang w:val="en-AU"/>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18EBE24" w:rsidR="00E90E49" w:rsidRPr="00327997" w:rsidRDefault="003D3C45" w:rsidP="00327997">
      <w:pPr>
        <w:pStyle w:val="3GPPHeader"/>
      </w:pPr>
      <w:r w:rsidRPr="00327997">
        <w:t>Title:</w:t>
      </w:r>
      <w:r w:rsidR="00E90E49" w:rsidRPr="00327997">
        <w:tab/>
      </w:r>
      <w:r w:rsidR="00DA2B6D">
        <w:t>Closed loop PC in NR</w:t>
      </w:r>
    </w:p>
    <w:p w14:paraId="2D554DE3" w14:textId="4C0A73A6" w:rsidR="00952A24" w:rsidRPr="00327997" w:rsidRDefault="00952A24" w:rsidP="00327997">
      <w:pPr>
        <w:pStyle w:val="3GPPHeader"/>
      </w:pPr>
      <w:r w:rsidRPr="00327997">
        <w:t>Agenda Item:</w:t>
      </w:r>
      <w:r w:rsidRPr="00327997">
        <w:tab/>
      </w:r>
      <w:r w:rsidR="007A5B38" w:rsidRPr="0090390D">
        <w:t>6.</w:t>
      </w:r>
      <w:r w:rsidR="0090390D">
        <w:t>7.2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285543A4" w:rsidR="00BF7642" w:rsidRPr="00E9149C" w:rsidRDefault="007A5B38" w:rsidP="00BF7642">
      <w:pPr>
        <w:pStyle w:val="BodyText"/>
      </w:pPr>
      <w:r>
        <w:t>In RAN1#90</w:t>
      </w:r>
      <w:r w:rsidR="00BF7642">
        <w:t>, the following agreement</w:t>
      </w:r>
      <w:r>
        <w:t>s</w:t>
      </w:r>
      <w:r w:rsidR="00BF7642">
        <w:t xml:space="preserve"> </w:t>
      </w:r>
      <w:r>
        <w:t>were</w:t>
      </w:r>
      <w:r w:rsidR="00BF7642">
        <w:t xml:space="preserve">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49A93B" w14:textId="77777777" w:rsidR="00DA2B6D" w:rsidRPr="00303B5C" w:rsidRDefault="00DA2B6D" w:rsidP="00DA2B6D">
                            <w:pPr>
                              <w:rPr>
                                <w:rFonts w:eastAsia="MS Mincho"/>
                                <w:lang w:eastAsia="ja-JP"/>
                              </w:rPr>
                            </w:pPr>
                            <w:r w:rsidRPr="00303B5C">
                              <w:rPr>
                                <w:rFonts w:eastAsia="MS Mincho"/>
                                <w:highlight w:val="green"/>
                                <w:lang w:eastAsia="ja-JP"/>
                              </w:rPr>
                              <w:t>Agreements</w:t>
                            </w:r>
                            <w:r w:rsidRPr="00303B5C">
                              <w:rPr>
                                <w:rFonts w:eastAsia="MS Mincho"/>
                                <w:lang w:eastAsia="ja-JP"/>
                              </w:rPr>
                              <w:t>:</w:t>
                            </w:r>
                          </w:p>
                          <w:p w14:paraId="2BEE147A" w14:textId="77777777" w:rsidR="00DA2B6D" w:rsidRPr="00303B5C" w:rsidRDefault="00DA2B6D" w:rsidP="00DA2B6D">
                            <w:pPr>
                              <w:numPr>
                                <w:ilvl w:val="0"/>
                                <w:numId w:val="15"/>
                              </w:numPr>
                              <w:tabs>
                                <w:tab w:val="left" w:pos="1440"/>
                              </w:tabs>
                              <w:overflowPunct/>
                              <w:autoSpaceDE/>
                              <w:autoSpaceDN/>
                              <w:adjustRightInd/>
                              <w:spacing w:after="0"/>
                              <w:jc w:val="left"/>
                              <w:textAlignment w:val="auto"/>
                              <w:rPr>
                                <w:rFonts w:eastAsia="MS Mincho"/>
                                <w:lang w:val="en-US" w:eastAsia="ja-JP"/>
                              </w:rPr>
                            </w:pPr>
                            <w:r w:rsidRPr="00303B5C">
                              <w:rPr>
                                <w:rFonts w:eastAsia="MS Mincho"/>
                                <w:lang w:val="en-US" w:eastAsia="ja-JP"/>
                              </w:rPr>
                              <w:t xml:space="preserve">For open-loop power control parameters for PUSCH for a UE, </w:t>
                            </w:r>
                          </w:p>
                          <w:p w14:paraId="67945034" w14:textId="77777777" w:rsidR="00DA2B6D" w:rsidRPr="00303B5C" w:rsidRDefault="00DA2B6D" w:rsidP="00DA2B6D">
                            <w:pPr>
                              <w:numPr>
                                <w:ilvl w:val="1"/>
                                <w:numId w:val="15"/>
                              </w:numPr>
                              <w:tabs>
                                <w:tab w:val="left" w:pos="1440"/>
                              </w:tabs>
                              <w:overflowPunct/>
                              <w:autoSpaceDE/>
                              <w:autoSpaceDN/>
                              <w:adjustRightInd/>
                              <w:spacing w:after="0"/>
                              <w:jc w:val="left"/>
                              <w:textAlignment w:val="auto"/>
                              <w:rPr>
                                <w:rFonts w:eastAsia="MS Mincho"/>
                                <w:lang w:val="en-US" w:eastAsia="ja-JP"/>
                              </w:rPr>
                            </w:pPr>
                            <w:proofErr w:type="spellStart"/>
                            <w:r w:rsidRPr="00303B5C">
                              <w:rPr>
                                <w:rFonts w:eastAsia="MS Mincho"/>
                                <w:lang w:val="en-US" w:eastAsia="ja-JP"/>
                              </w:rPr>
                              <w:t>gNB</w:t>
                            </w:r>
                            <w:proofErr w:type="spellEnd"/>
                            <w:r w:rsidRPr="00303B5C">
                              <w:rPr>
                                <w:rFonts w:eastAsia="MS Mincho"/>
                                <w:lang w:val="en-US" w:eastAsia="ja-JP"/>
                              </w:rPr>
                              <w:t xml:space="preserve"> configures one or multiple P0 values </w:t>
                            </w:r>
                          </w:p>
                          <w:p w14:paraId="3FD5CA76" w14:textId="77777777" w:rsidR="00DA2B6D" w:rsidRPr="00303B5C" w:rsidRDefault="00DA2B6D" w:rsidP="00DA2B6D">
                            <w:pPr>
                              <w:numPr>
                                <w:ilvl w:val="2"/>
                                <w:numId w:val="15"/>
                              </w:numPr>
                              <w:tabs>
                                <w:tab w:val="left" w:pos="1440"/>
                              </w:tabs>
                              <w:overflowPunct/>
                              <w:autoSpaceDE/>
                              <w:autoSpaceDN/>
                              <w:adjustRightInd/>
                              <w:spacing w:after="0"/>
                              <w:jc w:val="left"/>
                              <w:textAlignment w:val="auto"/>
                              <w:rPr>
                                <w:rFonts w:eastAsia="MS Mincho"/>
                                <w:lang w:val="en-US" w:eastAsia="ja-JP"/>
                              </w:rPr>
                            </w:pPr>
                            <w:r w:rsidRPr="00303B5C">
                              <w:rPr>
                                <w:rFonts w:eastAsia="MS Mincho"/>
                                <w:lang w:val="en-US" w:eastAsia="ja-JP"/>
                              </w:rPr>
                              <w:t>e.g., for specific combination(s) of one or more beam(s), waveform (if agreed) and service type (if agreed)</w:t>
                            </w:r>
                          </w:p>
                          <w:p w14:paraId="07C4D61B" w14:textId="77777777" w:rsidR="00DA2B6D" w:rsidRPr="00303B5C" w:rsidRDefault="00DA2B6D" w:rsidP="00DA2B6D">
                            <w:pPr>
                              <w:numPr>
                                <w:ilvl w:val="1"/>
                                <w:numId w:val="15"/>
                              </w:numPr>
                              <w:tabs>
                                <w:tab w:val="left" w:pos="1440"/>
                              </w:tabs>
                              <w:overflowPunct/>
                              <w:autoSpaceDE/>
                              <w:autoSpaceDN/>
                              <w:adjustRightInd/>
                              <w:spacing w:after="0"/>
                              <w:jc w:val="left"/>
                              <w:textAlignment w:val="auto"/>
                              <w:rPr>
                                <w:rFonts w:eastAsia="MS Mincho"/>
                                <w:lang w:val="en-US" w:eastAsia="ja-JP"/>
                              </w:rPr>
                            </w:pPr>
                            <w:proofErr w:type="spellStart"/>
                            <w:r w:rsidRPr="00303B5C">
                              <w:rPr>
                                <w:rFonts w:eastAsia="MS Mincho"/>
                                <w:lang w:val="en-US" w:eastAsia="ja-JP"/>
                              </w:rPr>
                              <w:t>gNB</w:t>
                            </w:r>
                            <w:proofErr w:type="spellEnd"/>
                            <w:r w:rsidRPr="00303B5C">
                              <w:rPr>
                                <w:rFonts w:eastAsia="MS Mincho"/>
                                <w:lang w:val="en-US" w:eastAsia="ja-JP"/>
                              </w:rPr>
                              <w:t xml:space="preserve"> can configure one or multiple alpha values</w:t>
                            </w:r>
                          </w:p>
                          <w:p w14:paraId="255676FE" w14:textId="77777777" w:rsidR="00DA2B6D" w:rsidRPr="00DA2B6D" w:rsidRDefault="00DA2B6D" w:rsidP="00DA2B6D">
                            <w:pPr>
                              <w:numPr>
                                <w:ilvl w:val="0"/>
                                <w:numId w:val="15"/>
                              </w:numPr>
                              <w:tabs>
                                <w:tab w:val="left" w:pos="1440"/>
                              </w:tabs>
                              <w:overflowPunct/>
                              <w:autoSpaceDE/>
                              <w:autoSpaceDN/>
                              <w:adjustRightInd/>
                              <w:spacing w:after="0"/>
                              <w:jc w:val="left"/>
                              <w:textAlignment w:val="auto"/>
                              <w:rPr>
                                <w:rFonts w:eastAsia="MS Mincho"/>
                                <w:highlight w:val="yellow"/>
                                <w:lang w:val="en-US" w:eastAsia="ja-JP"/>
                              </w:rPr>
                            </w:pPr>
                            <w:r w:rsidRPr="00DA2B6D">
                              <w:rPr>
                                <w:rFonts w:eastAsia="MS Mincho"/>
                                <w:highlight w:val="yellow"/>
                                <w:lang w:val="en-US" w:eastAsia="ja-JP"/>
                              </w:rPr>
                              <w:t xml:space="preserve">FFS the case of closed-loop power control </w:t>
                            </w:r>
                          </w:p>
                          <w:p w14:paraId="011FB60F" w14:textId="77777777" w:rsidR="00DA2B6D" w:rsidRPr="009B5D4F" w:rsidRDefault="00DA2B6D" w:rsidP="00DA2B6D">
                            <w:pPr>
                              <w:numPr>
                                <w:ilvl w:val="0"/>
                                <w:numId w:val="15"/>
                              </w:numPr>
                              <w:tabs>
                                <w:tab w:val="left" w:pos="1440"/>
                              </w:tabs>
                              <w:overflowPunct/>
                              <w:autoSpaceDE/>
                              <w:autoSpaceDN/>
                              <w:adjustRightInd/>
                              <w:spacing w:after="0"/>
                              <w:jc w:val="left"/>
                              <w:textAlignment w:val="auto"/>
                              <w:rPr>
                                <w:rFonts w:eastAsia="MS Mincho"/>
                                <w:b/>
                                <w:lang w:eastAsia="ja-JP"/>
                              </w:rPr>
                            </w:pPr>
                            <w:r w:rsidRPr="009B5D4F">
                              <w:rPr>
                                <w:rFonts w:eastAsia="MS Mincho"/>
                                <w:lang w:val="en-US" w:eastAsia="ja-JP"/>
                              </w:rPr>
                              <w:t>FFS how to handle reconfiguration of open-loop power control parameters for PUSCH for a UE, e.g., reset or not reset closed-loop power control</w:t>
                            </w:r>
                          </w:p>
                          <w:p w14:paraId="7FA05B3E" w14:textId="77777777" w:rsidR="00BF7642" w:rsidRPr="00DA2B6D" w:rsidRDefault="00BF7642"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349A93B" w14:textId="77777777" w:rsidR="00DA2B6D" w:rsidRPr="00303B5C" w:rsidRDefault="00DA2B6D" w:rsidP="00DA2B6D">
                      <w:pPr>
                        <w:rPr>
                          <w:rFonts w:eastAsia="MS Mincho"/>
                          <w:lang w:eastAsia="ja-JP"/>
                        </w:rPr>
                      </w:pPr>
                      <w:r w:rsidRPr="00303B5C">
                        <w:rPr>
                          <w:rFonts w:eastAsia="MS Mincho"/>
                          <w:highlight w:val="green"/>
                          <w:lang w:eastAsia="ja-JP"/>
                        </w:rPr>
                        <w:t>Agreements</w:t>
                      </w:r>
                      <w:r w:rsidRPr="00303B5C">
                        <w:rPr>
                          <w:rFonts w:eastAsia="MS Mincho"/>
                          <w:lang w:eastAsia="ja-JP"/>
                        </w:rPr>
                        <w:t>:</w:t>
                      </w:r>
                    </w:p>
                    <w:p w14:paraId="2BEE147A" w14:textId="77777777" w:rsidR="00DA2B6D" w:rsidRPr="00303B5C" w:rsidRDefault="00DA2B6D" w:rsidP="00DA2B6D">
                      <w:pPr>
                        <w:numPr>
                          <w:ilvl w:val="0"/>
                          <w:numId w:val="15"/>
                        </w:numPr>
                        <w:tabs>
                          <w:tab w:val="left" w:pos="1440"/>
                        </w:tabs>
                        <w:overflowPunct/>
                        <w:autoSpaceDE/>
                        <w:autoSpaceDN/>
                        <w:adjustRightInd/>
                        <w:spacing w:after="0"/>
                        <w:jc w:val="left"/>
                        <w:textAlignment w:val="auto"/>
                        <w:rPr>
                          <w:rFonts w:eastAsia="MS Mincho"/>
                          <w:lang w:val="en-US" w:eastAsia="ja-JP"/>
                        </w:rPr>
                      </w:pPr>
                      <w:r w:rsidRPr="00303B5C">
                        <w:rPr>
                          <w:rFonts w:eastAsia="MS Mincho"/>
                          <w:lang w:val="en-US" w:eastAsia="ja-JP"/>
                        </w:rPr>
                        <w:t xml:space="preserve">For open-loop power control parameters for PUSCH for a UE, </w:t>
                      </w:r>
                    </w:p>
                    <w:p w14:paraId="67945034" w14:textId="77777777" w:rsidR="00DA2B6D" w:rsidRPr="00303B5C" w:rsidRDefault="00DA2B6D" w:rsidP="00DA2B6D">
                      <w:pPr>
                        <w:numPr>
                          <w:ilvl w:val="1"/>
                          <w:numId w:val="15"/>
                        </w:numPr>
                        <w:tabs>
                          <w:tab w:val="left" w:pos="1440"/>
                        </w:tabs>
                        <w:overflowPunct/>
                        <w:autoSpaceDE/>
                        <w:autoSpaceDN/>
                        <w:adjustRightInd/>
                        <w:spacing w:after="0"/>
                        <w:jc w:val="left"/>
                        <w:textAlignment w:val="auto"/>
                        <w:rPr>
                          <w:rFonts w:eastAsia="MS Mincho"/>
                          <w:lang w:val="en-US" w:eastAsia="ja-JP"/>
                        </w:rPr>
                      </w:pPr>
                      <w:proofErr w:type="spellStart"/>
                      <w:r w:rsidRPr="00303B5C">
                        <w:rPr>
                          <w:rFonts w:eastAsia="MS Mincho"/>
                          <w:lang w:val="en-US" w:eastAsia="ja-JP"/>
                        </w:rPr>
                        <w:t>gNB</w:t>
                      </w:r>
                      <w:proofErr w:type="spellEnd"/>
                      <w:r w:rsidRPr="00303B5C">
                        <w:rPr>
                          <w:rFonts w:eastAsia="MS Mincho"/>
                          <w:lang w:val="en-US" w:eastAsia="ja-JP"/>
                        </w:rPr>
                        <w:t xml:space="preserve"> configures one or multiple P0 values </w:t>
                      </w:r>
                    </w:p>
                    <w:p w14:paraId="3FD5CA76" w14:textId="77777777" w:rsidR="00DA2B6D" w:rsidRPr="00303B5C" w:rsidRDefault="00DA2B6D" w:rsidP="00DA2B6D">
                      <w:pPr>
                        <w:numPr>
                          <w:ilvl w:val="2"/>
                          <w:numId w:val="15"/>
                        </w:numPr>
                        <w:tabs>
                          <w:tab w:val="left" w:pos="1440"/>
                        </w:tabs>
                        <w:overflowPunct/>
                        <w:autoSpaceDE/>
                        <w:autoSpaceDN/>
                        <w:adjustRightInd/>
                        <w:spacing w:after="0"/>
                        <w:jc w:val="left"/>
                        <w:textAlignment w:val="auto"/>
                        <w:rPr>
                          <w:rFonts w:eastAsia="MS Mincho"/>
                          <w:lang w:val="en-US" w:eastAsia="ja-JP"/>
                        </w:rPr>
                      </w:pPr>
                      <w:r w:rsidRPr="00303B5C">
                        <w:rPr>
                          <w:rFonts w:eastAsia="MS Mincho"/>
                          <w:lang w:val="en-US" w:eastAsia="ja-JP"/>
                        </w:rPr>
                        <w:t>e.g., for specific combination(s) of one or more beam(s), waveform (if agreed) and service type (if agreed)</w:t>
                      </w:r>
                    </w:p>
                    <w:p w14:paraId="07C4D61B" w14:textId="77777777" w:rsidR="00DA2B6D" w:rsidRPr="00303B5C" w:rsidRDefault="00DA2B6D" w:rsidP="00DA2B6D">
                      <w:pPr>
                        <w:numPr>
                          <w:ilvl w:val="1"/>
                          <w:numId w:val="15"/>
                        </w:numPr>
                        <w:tabs>
                          <w:tab w:val="left" w:pos="1440"/>
                        </w:tabs>
                        <w:overflowPunct/>
                        <w:autoSpaceDE/>
                        <w:autoSpaceDN/>
                        <w:adjustRightInd/>
                        <w:spacing w:after="0"/>
                        <w:jc w:val="left"/>
                        <w:textAlignment w:val="auto"/>
                        <w:rPr>
                          <w:rFonts w:eastAsia="MS Mincho"/>
                          <w:lang w:val="en-US" w:eastAsia="ja-JP"/>
                        </w:rPr>
                      </w:pPr>
                      <w:proofErr w:type="spellStart"/>
                      <w:r w:rsidRPr="00303B5C">
                        <w:rPr>
                          <w:rFonts w:eastAsia="MS Mincho"/>
                          <w:lang w:val="en-US" w:eastAsia="ja-JP"/>
                        </w:rPr>
                        <w:t>gNB</w:t>
                      </w:r>
                      <w:proofErr w:type="spellEnd"/>
                      <w:r w:rsidRPr="00303B5C">
                        <w:rPr>
                          <w:rFonts w:eastAsia="MS Mincho"/>
                          <w:lang w:val="en-US" w:eastAsia="ja-JP"/>
                        </w:rPr>
                        <w:t xml:space="preserve"> can configure one or multiple alpha values</w:t>
                      </w:r>
                    </w:p>
                    <w:p w14:paraId="255676FE" w14:textId="77777777" w:rsidR="00DA2B6D" w:rsidRPr="00DA2B6D" w:rsidRDefault="00DA2B6D" w:rsidP="00DA2B6D">
                      <w:pPr>
                        <w:numPr>
                          <w:ilvl w:val="0"/>
                          <w:numId w:val="15"/>
                        </w:numPr>
                        <w:tabs>
                          <w:tab w:val="left" w:pos="1440"/>
                        </w:tabs>
                        <w:overflowPunct/>
                        <w:autoSpaceDE/>
                        <w:autoSpaceDN/>
                        <w:adjustRightInd/>
                        <w:spacing w:after="0"/>
                        <w:jc w:val="left"/>
                        <w:textAlignment w:val="auto"/>
                        <w:rPr>
                          <w:rFonts w:eastAsia="MS Mincho"/>
                          <w:highlight w:val="yellow"/>
                          <w:lang w:val="en-US" w:eastAsia="ja-JP"/>
                        </w:rPr>
                      </w:pPr>
                      <w:r w:rsidRPr="00DA2B6D">
                        <w:rPr>
                          <w:rFonts w:eastAsia="MS Mincho"/>
                          <w:highlight w:val="yellow"/>
                          <w:lang w:val="en-US" w:eastAsia="ja-JP"/>
                        </w:rPr>
                        <w:t xml:space="preserve">FFS the case of closed-loop power control </w:t>
                      </w:r>
                    </w:p>
                    <w:p w14:paraId="011FB60F" w14:textId="77777777" w:rsidR="00DA2B6D" w:rsidRPr="009B5D4F" w:rsidRDefault="00DA2B6D" w:rsidP="00DA2B6D">
                      <w:pPr>
                        <w:numPr>
                          <w:ilvl w:val="0"/>
                          <w:numId w:val="15"/>
                        </w:numPr>
                        <w:tabs>
                          <w:tab w:val="left" w:pos="1440"/>
                        </w:tabs>
                        <w:overflowPunct/>
                        <w:autoSpaceDE/>
                        <w:autoSpaceDN/>
                        <w:adjustRightInd/>
                        <w:spacing w:after="0"/>
                        <w:jc w:val="left"/>
                        <w:textAlignment w:val="auto"/>
                        <w:rPr>
                          <w:rFonts w:eastAsia="MS Mincho"/>
                          <w:b/>
                          <w:lang w:eastAsia="ja-JP"/>
                        </w:rPr>
                      </w:pPr>
                      <w:r w:rsidRPr="009B5D4F">
                        <w:rPr>
                          <w:rFonts w:eastAsia="MS Mincho"/>
                          <w:lang w:val="en-US" w:eastAsia="ja-JP"/>
                        </w:rPr>
                        <w:t>FFS how to handle reconfiguration of open-loop power control parameters for PUSCH for a UE, e.g., reset or not reset closed-loop power control</w:t>
                      </w:r>
                    </w:p>
                    <w:p w14:paraId="7FA05B3E" w14:textId="77777777" w:rsidR="00BF7642" w:rsidRPr="00DA2B6D" w:rsidRDefault="00BF7642" w:rsidP="00BF7642">
                      <w:pPr>
                        <w:rPr>
                          <w:rFonts w:eastAsia="MS Mincho"/>
                        </w:rPr>
                      </w:pPr>
                    </w:p>
                  </w:txbxContent>
                </v:textbox>
                <w10:anchorlock/>
              </v:shape>
            </w:pict>
          </mc:Fallback>
        </mc:AlternateContent>
      </w:r>
    </w:p>
    <w:p w14:paraId="45D94F03" w14:textId="7FC0DC95" w:rsidR="00477768" w:rsidRPr="00CE0424" w:rsidRDefault="00BF7642" w:rsidP="00BF7642">
      <w:pPr>
        <w:pStyle w:val="BodyText"/>
      </w:pPr>
      <w:r>
        <w:t xml:space="preserve">In this </w:t>
      </w:r>
      <w:r w:rsidR="00DA2B6D">
        <w:t xml:space="preserve">contribution, we give our opinion on closed-loop power control in NR. </w:t>
      </w:r>
    </w:p>
    <w:p w14:paraId="3CB8F8BC" w14:textId="77777777" w:rsidR="004000E8" w:rsidRDefault="004000E8" w:rsidP="00CE0424">
      <w:pPr>
        <w:pStyle w:val="Heading1"/>
      </w:pPr>
      <w:bookmarkStart w:id="2" w:name="_Ref178064866"/>
      <w:r w:rsidRPr="00CE0424">
        <w:t>Discussion</w:t>
      </w:r>
      <w:bookmarkEnd w:id="2"/>
    </w:p>
    <w:p w14:paraId="2AD69200" w14:textId="01009540" w:rsidR="00DA2B6D" w:rsidRPr="000845EF" w:rsidRDefault="00DA2B6D" w:rsidP="009B5D4F">
      <w:pPr>
        <w:spacing w:after="180"/>
        <w:rPr>
          <w:rFonts w:cs="Arial"/>
        </w:rPr>
      </w:pPr>
      <w:r w:rsidRPr="000845EF">
        <w:rPr>
          <w:rFonts w:eastAsia="MS Mincho" w:cs="Arial"/>
          <w:lang w:eastAsia="en-GB"/>
        </w:rPr>
        <w:t>In</w:t>
      </w:r>
      <w:r>
        <w:rPr>
          <w:rFonts w:eastAsia="MS Mincho" w:cs="Arial"/>
          <w:lang w:eastAsia="en-GB"/>
        </w:rPr>
        <w:t>,</w:t>
      </w:r>
      <w:r w:rsidRPr="000845EF">
        <w:rPr>
          <w:rFonts w:eastAsia="MS Mincho" w:cs="Arial"/>
          <w:lang w:eastAsia="en-GB"/>
        </w:rPr>
        <w:t xml:space="preserve"> for instance LTE release 10</w:t>
      </w:r>
      <w:r>
        <w:rPr>
          <w:rFonts w:eastAsia="MS Mincho" w:cs="Arial"/>
          <w:lang w:eastAsia="en-GB"/>
        </w:rPr>
        <w:t>,</w:t>
      </w:r>
      <w:r w:rsidRPr="000845EF">
        <w:rPr>
          <w:rFonts w:eastAsia="MS Mincho" w:cs="Arial"/>
          <w:lang w:eastAsia="en-GB"/>
        </w:rPr>
        <w:t xml:space="preserve"> the </w:t>
      </w:r>
      <w:r>
        <w:rPr>
          <w:rFonts w:eastAsia="MS Mincho" w:cs="Arial"/>
          <w:lang w:eastAsia="en-GB"/>
        </w:rPr>
        <w:t xml:space="preserve">UE is performing PC for </w:t>
      </w:r>
      <w:r w:rsidRPr="000845EF">
        <w:rPr>
          <w:rFonts w:cs="Arial"/>
        </w:rPr>
        <w:t xml:space="preserve">PUSCH </w:t>
      </w:r>
      <w:r w:rsidR="009B5D4F">
        <w:rPr>
          <w:rFonts w:cs="Arial"/>
        </w:rPr>
        <w:t>using</w:t>
      </w:r>
      <w:r w:rsidRPr="000845EF">
        <w:rPr>
          <w:rFonts w:cs="Arial"/>
        </w:rPr>
        <w:t xml:space="preserve"> the equation </w:t>
      </w:r>
    </w:p>
    <w:p w14:paraId="04ABD887" w14:textId="77777777" w:rsidR="00DA2B6D" w:rsidRPr="000845EF" w:rsidRDefault="00CC04FC" w:rsidP="00DA2B6D">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sSubSup>
                  <m:r>
                    <w:rPr>
                      <w:rFonts w:ascii="Cambria Math" w:hAnsi="Cambria Math" w:cs="Arial"/>
                    </w:rPr>
                    <m:t>+αPL</m:t>
                  </m:r>
                </m:e>
                <m:sub>
                  <m:r>
                    <w:rPr>
                      <w:rFonts w:ascii="Cambria Math" w:hAnsi="Cambria Math" w:cs="Arial"/>
                    </w:rPr>
                    <m:t>c</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r>
                    <m:rPr>
                      <m:sty m:val="p"/>
                    </m:rPr>
                    <w:rPr>
                      <w:rFonts w:ascii="Cambria Math" w:hAnsi="Cambria Math" w:cs="Arial"/>
                    </w:rPr>
                    <m:t>M+∇</m:t>
                  </m:r>
                </m:e>
                <m:sub>
                  <m:r>
                    <w:rPr>
                      <w:rFonts w:ascii="Cambria Math" w:hAnsi="Cambria Math" w:cs="Arial"/>
                    </w:rPr>
                    <m:t>MCS</m:t>
                  </m:r>
                </m:sub>
                <m:sup/>
              </m:sSubSup>
              <m:r>
                <w:rPr>
                  <w:rFonts w:ascii="Cambria Math" w:hAnsi="Cambria Math" w:cs="Arial"/>
                </w:rPr>
                <m:t>+f(i)</m:t>
              </m:r>
            </m:e>
          </m:d>
        </m:oMath>
      </m:oMathPara>
    </w:p>
    <w:p w14:paraId="30E8BC41" w14:textId="19245AD4" w:rsidR="00DA2B6D" w:rsidRDefault="009B5D4F" w:rsidP="009B5D4F">
      <w:pPr>
        <w:pStyle w:val="BodyText"/>
      </w:pPr>
      <w:r>
        <w:rPr>
          <w:lang w:val="en-AU"/>
        </w:rPr>
        <w:t xml:space="preserve">where </w:t>
      </w:r>
      <w:r w:rsidRPr="009B5D4F">
        <w:rPr>
          <w:i/>
          <w:lang w:val="en-AU"/>
        </w:rPr>
        <w:t>f(i)</w:t>
      </w:r>
      <w:r>
        <w:rPr>
          <w:lang w:val="en-AU"/>
        </w:rPr>
        <w:t xml:space="preserve"> corresponds to the closed loop part of PC</w:t>
      </w:r>
      <w:r w:rsidR="0090390D">
        <w:rPr>
          <w:lang w:val="en-AU"/>
        </w:rPr>
        <w:t xml:space="preserve"> which </w:t>
      </w:r>
      <w:r>
        <w:t>is</w:t>
      </w:r>
      <w:r w:rsidR="00DA2B6D">
        <w:t xml:space="preserve"> controlled by </w:t>
      </w:r>
      <w:r>
        <w:t>signalling</w:t>
      </w:r>
      <w:r w:rsidR="00DA2B6D">
        <w:t xml:space="preserve"> from the </w:t>
      </w:r>
      <w:proofErr w:type="spellStart"/>
      <w:r w:rsidR="00DA2B6D">
        <w:t>gNB</w:t>
      </w:r>
      <w:proofErr w:type="spellEnd"/>
      <w:r w:rsidR="00DA2B6D">
        <w:t xml:space="preserve"> using TPC (Transmission Power Contr</w:t>
      </w:r>
      <w:r w:rsidR="0090390D">
        <w:t>ol) command. By using TPC</w:t>
      </w:r>
      <w:r w:rsidR="00DA2B6D">
        <w:t xml:space="preserve"> the </w:t>
      </w:r>
      <w:proofErr w:type="spellStart"/>
      <w:r w:rsidR="00DA2B6D">
        <w:t>gNB</w:t>
      </w:r>
      <w:proofErr w:type="spellEnd"/>
      <w:r w:rsidR="00DA2B6D">
        <w:t xml:space="preserve"> will </w:t>
      </w:r>
      <w:r w:rsidR="0090390D">
        <w:t xml:space="preserve">thus </w:t>
      </w:r>
      <w:r w:rsidR="00DA2B6D">
        <w:t xml:space="preserve">be able to impact the UE output power which is useful </w:t>
      </w:r>
      <w:r>
        <w:t>to</w:t>
      </w:r>
      <w:r w:rsidR="00DA2B6D">
        <w:t xml:space="preserve"> for instance </w:t>
      </w:r>
    </w:p>
    <w:p w14:paraId="383606D6" w14:textId="12652695" w:rsidR="009B5D4F" w:rsidRDefault="001A6BC9" w:rsidP="009B5D4F">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A</w:t>
      </w:r>
      <w:r w:rsidR="009B5D4F">
        <w:t xml:space="preserve">dopt the UE output power to the current interference level at the </w:t>
      </w:r>
      <w:proofErr w:type="spellStart"/>
      <w:r w:rsidR="009B5D4F">
        <w:t>gNB</w:t>
      </w:r>
      <w:proofErr w:type="spellEnd"/>
      <w:r w:rsidR="009B5D4F">
        <w:t xml:space="preserve">. If the interference is high it may be motivated to increase the UE output power. </w:t>
      </w:r>
    </w:p>
    <w:p w14:paraId="6B8ADCB5" w14:textId="0041806F" w:rsidR="00DA2B6D" w:rsidRDefault="001A6BC9" w:rsidP="00DA2B6D">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C</w:t>
      </w:r>
      <w:r w:rsidR="00DA2B6D">
        <w:t>ombat estimation errors impacting the UL PC</w:t>
      </w:r>
      <w:r w:rsidR="007231D0">
        <w:t>.</w:t>
      </w:r>
    </w:p>
    <w:p w14:paraId="4941F674" w14:textId="59118078" w:rsidR="00DA2B6D" w:rsidRDefault="001A6BC9" w:rsidP="00DA2B6D">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G</w:t>
      </w:r>
      <w:r w:rsidR="00DA2B6D">
        <w:t>et rid of biases</w:t>
      </w:r>
      <w:r w:rsidR="009B5D4F">
        <w:t xml:space="preserve">. </w:t>
      </w:r>
    </w:p>
    <w:p w14:paraId="315E1A9E" w14:textId="048B9518" w:rsidR="00DA2B6D" w:rsidRPr="00415E5C" w:rsidRDefault="009B5D4F" w:rsidP="00DA2B6D">
      <w:pPr>
        <w:pStyle w:val="BodyText"/>
      </w:pPr>
      <w:r>
        <w:t>In LTE t</w:t>
      </w:r>
      <w:r w:rsidR="00DA2B6D">
        <w:t>here are different ways to con</w:t>
      </w:r>
      <w:r w:rsidR="0090390D">
        <w:t>figure the operation of f(i). It</w:t>
      </w:r>
      <w:r w:rsidR="00DA2B6D">
        <w:t xml:space="preserve"> can be operating in ”accumulated mode” or “absolute mode”. In case that </w:t>
      </w:r>
      <w:r w:rsidR="00DA2B6D" w:rsidRPr="00415E5C">
        <w:t>accumulation is enabled</w:t>
      </w:r>
      <w:r w:rsidR="0090390D">
        <w:t xml:space="preserve"> </w:t>
      </w:r>
      <w:r w:rsidR="00DA2B6D">
        <w:t xml:space="preserve">f(i) is given from </w:t>
      </w:r>
      <w:r w:rsidR="00DA2B6D" w:rsidRPr="00415E5C">
        <w:rPr>
          <w:position w:val="-12"/>
        </w:rPr>
        <w:object w:dxaOrig="3440" w:dyaOrig="320" w14:anchorId="027D0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15pt;height:16.15pt" o:ole="">
            <v:imagedata r:id="rId8" o:title=""/>
          </v:shape>
          <o:OLEObject Type="Embed" ProgID="Equation.3" ShapeID="_x0000_i1025" DrawAspect="Content" ObjectID="_1566673413" r:id="rId9"/>
        </w:object>
      </w:r>
      <w:r w:rsidR="00DA2B6D">
        <w:t xml:space="preserve"> where</w:t>
      </w:r>
      <w:r w:rsidR="00DA2B6D" w:rsidRPr="00415E5C">
        <w:rPr>
          <w:position w:val="-12"/>
        </w:rPr>
        <w:object w:dxaOrig="820" w:dyaOrig="320" w14:anchorId="12211529">
          <v:shape id="_x0000_i1026" type="#_x0000_t75" style="width:40.9pt;height:16.15pt" o:ole="">
            <v:imagedata r:id="rId10" o:title=""/>
          </v:shape>
          <o:OLEObject Type="Embed" ProgID="Equation.3" ShapeID="_x0000_i1026" DrawAspect="Content" ObjectID="_1566673414" r:id="rId11"/>
        </w:object>
      </w:r>
      <w:r w:rsidR="00DA2B6D" w:rsidRPr="00415E5C">
        <w:t xml:space="preserve"> is a correction value</w:t>
      </w:r>
      <w:r>
        <w:t xml:space="preserve"> given from the </w:t>
      </w:r>
      <w:r w:rsidR="00DA2B6D" w:rsidRPr="00415E5C">
        <w:t>TPC command</w:t>
      </w:r>
      <w:r w:rsidR="007231D0">
        <w:t>. Furthermore,</w:t>
      </w:r>
      <w:r w:rsidR="00DA2B6D">
        <w:t xml:space="preserve"> the UE shall </w:t>
      </w:r>
      <w:r w:rsidR="00DA2B6D" w:rsidRPr="00415E5C">
        <w:t>reset accumulation</w:t>
      </w:r>
    </w:p>
    <w:p w14:paraId="022FF533" w14:textId="77777777" w:rsidR="00DA2B6D" w:rsidRPr="009F446F" w:rsidRDefault="00DA2B6D" w:rsidP="00DA2B6D">
      <w:pPr>
        <w:numPr>
          <w:ilvl w:val="0"/>
          <w:numId w:val="18"/>
        </w:numPr>
        <w:jc w:val="left"/>
      </w:pPr>
      <w:r w:rsidRPr="009F446F">
        <w:t xml:space="preserve">For serving cell </w:t>
      </w:r>
      <w:r w:rsidRPr="009F446F">
        <w:rPr>
          <w:position w:val="-6"/>
        </w:rPr>
        <w:object w:dxaOrig="160" w:dyaOrig="200" w14:anchorId="1A357867">
          <v:shape id="_x0000_i1027" type="#_x0000_t75" style="width:8.05pt;height:9.8pt" o:ole="">
            <v:imagedata r:id="rId12" o:title=""/>
          </v:shape>
          <o:OLEObject Type="Embed" ProgID="Equation.3" ShapeID="_x0000_i1027" DrawAspect="Content" ObjectID="_1566673415" r:id="rId13"/>
        </w:object>
      </w:r>
      <w:r w:rsidRPr="009F446F">
        <w:t xml:space="preserve">, when </w:t>
      </w:r>
      <w:r w:rsidRPr="009F446F">
        <w:rPr>
          <w:position w:val="-14"/>
        </w:rPr>
        <w:object w:dxaOrig="1300" w:dyaOrig="340" w14:anchorId="1058BBDF">
          <v:shape id="_x0000_i1028" type="#_x0000_t75" style="width:65.15pt;height:17.3pt" o:ole="">
            <v:imagedata r:id="rId14" o:title=""/>
          </v:shape>
          <o:OLEObject Type="Embed" ProgID="Equation.3" ShapeID="_x0000_i1028" DrawAspect="Content" ObjectID="_1566673416" r:id="rId15"/>
        </w:object>
      </w:r>
      <w:r w:rsidRPr="009F446F">
        <w:t xml:space="preserve"> </w:t>
      </w:r>
      <w:r w:rsidRPr="009F446F">
        <w:rPr>
          <w:rFonts w:hint="eastAsia"/>
        </w:rPr>
        <w:t>value is changed by higher layers</w:t>
      </w:r>
    </w:p>
    <w:p w14:paraId="04DE48D3" w14:textId="77777777" w:rsidR="00DA2B6D" w:rsidRPr="009F446F" w:rsidRDefault="00DA2B6D" w:rsidP="00DA2B6D">
      <w:pPr>
        <w:numPr>
          <w:ilvl w:val="0"/>
          <w:numId w:val="18"/>
        </w:numPr>
        <w:jc w:val="left"/>
      </w:pPr>
      <w:r w:rsidRPr="009F446F">
        <w:t>For the primary cell, when the UE receives random access response message</w:t>
      </w:r>
    </w:p>
    <w:p w14:paraId="10D1C3E1" w14:textId="3F662E98" w:rsidR="00DA2B6D" w:rsidRPr="00DA2B6D" w:rsidRDefault="009B5D4F" w:rsidP="00DA2B6D">
      <w:pPr>
        <w:pStyle w:val="BodyText"/>
      </w:pPr>
      <w:r>
        <w:t xml:space="preserve">For NR a number of new features are introduced which have implications on the closed loop part of NR’s </w:t>
      </w:r>
      <w:r w:rsidR="0090390D">
        <w:t xml:space="preserve">UL </w:t>
      </w:r>
      <w:r>
        <w:t>power control. It therefore need</w:t>
      </w:r>
      <w:r w:rsidR="00DC5648">
        <w:t>s</w:t>
      </w:r>
      <w:r>
        <w:t xml:space="preserve"> to be consider </w:t>
      </w:r>
      <w:r w:rsidR="00DC5648">
        <w:t>whether</w:t>
      </w:r>
      <w:r>
        <w:t xml:space="preserve"> the LTE framework for closed loop PC needs to be modified</w:t>
      </w:r>
      <w:r w:rsidR="007231D0">
        <w:t>.</w:t>
      </w:r>
      <w:r>
        <w:t xml:space="preserve"> </w:t>
      </w:r>
    </w:p>
    <w:p w14:paraId="18E3FFCD" w14:textId="0B668EB6" w:rsidR="00ED2053" w:rsidRDefault="00ED2053" w:rsidP="00ED2053">
      <w:pPr>
        <w:pStyle w:val="Heading1"/>
      </w:pPr>
      <w:bookmarkStart w:id="3" w:name="_Toc491437200"/>
      <w:r>
        <w:lastRenderedPageBreak/>
        <w:t xml:space="preserve">Multiple closed </w:t>
      </w:r>
      <w:r w:rsidRPr="00ED2053">
        <w:t>loop</w:t>
      </w:r>
      <w:r>
        <w:t xml:space="preserve"> PC processes</w:t>
      </w:r>
    </w:p>
    <w:p w14:paraId="199C9622" w14:textId="5196334E" w:rsidR="005C0F1C" w:rsidRDefault="005C0F1C" w:rsidP="005C0F1C">
      <w:pPr>
        <w:pStyle w:val="BodyText"/>
        <w:rPr>
          <w:lang w:val="en-AU"/>
        </w:rPr>
      </w:pPr>
      <w:r>
        <w:rPr>
          <w:lang w:val="en-AU"/>
        </w:rPr>
        <w:t xml:space="preserve">The support of beam specific PC in NR will imply that multiple PC processes will be active at the same time. If we for instance consider PUSCH the PC formula may be written as </w:t>
      </w:r>
    </w:p>
    <w:p w14:paraId="5D14D05E" w14:textId="59570D9E" w:rsidR="005C0F1C" w:rsidRDefault="00CC04FC" w:rsidP="005C0F1C">
      <w:pPr>
        <w:pStyle w:val="BodyText"/>
        <w:ind w:left="720"/>
        <w:rPr>
          <w:rFonts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r>
              <w:rPr>
                <w:rFonts w:ascii="Cambria Math" w:hAnsi="Cambria Math" w:cs="Arial"/>
              </w:rPr>
              <m:t>k</m:t>
            </m:r>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r>
                      <w:rPr>
                        <w:rFonts w:ascii="Cambria Math" w:hAnsi="Cambria Math" w:cs="Arial"/>
                      </w:rPr>
                      <m:t>k</m:t>
                    </m:r>
                  </m:sup>
                </m:sSubSup>
                <m:r>
                  <w:rPr>
                    <w:rFonts w:ascii="Cambria Math" w:hAnsi="Cambria Math" w:cs="Arial"/>
                  </w:rPr>
                  <m:t>+</m:t>
                </m:r>
                <m:sSub>
                  <m:sSubPr>
                    <m:ctrlPr>
                      <w:rPr>
                        <w:rFonts w:ascii="Cambria Math" w:hAnsi="Cambria Math" w:cs="Arial"/>
                      </w:rPr>
                    </m:ctrlPr>
                  </m:sSubPr>
                  <m:e>
                    <m:r>
                      <w:rPr>
                        <w:rFonts w:ascii="Cambria Math" w:hAnsi="Cambria Math" w:cs="Arial"/>
                      </w:rPr>
                      <m:t>α</m:t>
                    </m:r>
                  </m:e>
                  <m:sub>
                    <m:r>
                      <w:rPr>
                        <w:rFonts w:ascii="Cambria Math" w:hAnsi="Cambria Math" w:cs="Arial"/>
                      </w:rPr>
                      <m:t>k</m:t>
                    </m:r>
                  </m:sub>
                </m:sSub>
                <m:r>
                  <w:rPr>
                    <w:rFonts w:ascii="Cambria Math" w:hAnsi="Cambria Math" w:cs="Arial"/>
                  </w:rPr>
                  <m:t>PL</m:t>
                </m:r>
              </m:e>
              <m:sub>
                <m:r>
                  <w:rPr>
                    <w:rFonts w:ascii="Cambria Math" w:hAnsi="Cambria Math" w:cs="Arial"/>
                  </w:rPr>
                  <m:t>c</m:t>
                </m:r>
              </m:sub>
              <m:sup>
                <m:r>
                  <w:rPr>
                    <w:rFonts w:ascii="Cambria Math" w:hAnsi="Cambria Math" w:cs="Arial"/>
                  </w:rPr>
                  <m:t>k</m:t>
                </m:r>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sSub>
                  <m:sSubPr>
                    <m:ctrlPr>
                      <w:rPr>
                        <w:rFonts w:ascii="Cambria Math" w:hAnsi="Cambria Math" w:cs="Arial"/>
                      </w:rPr>
                    </m:ctrlPr>
                  </m:sSubPr>
                  <m:e>
                    <m:r>
                      <w:rPr>
                        <w:rFonts w:ascii="Cambria Math" w:hAnsi="Cambria Math" w:cs="Arial"/>
                      </w:rPr>
                      <m:t>M</m:t>
                    </m:r>
                  </m:e>
                  <m:sub/>
                </m:sSub>
                <m:r>
                  <m:rPr>
                    <m:sty m:val="p"/>
                  </m:rPr>
                  <w:rPr>
                    <w:rFonts w:ascii="Cambria Math" w:hAnsi="Cambria Math" w:cs="Arial"/>
                  </w:rPr>
                  <m:t>+∇</m:t>
                </m:r>
              </m:e>
              <m:sub>
                <m:r>
                  <w:rPr>
                    <w:rFonts w:ascii="Cambria Math" w:hAnsi="Cambria Math" w:cs="Arial"/>
                  </w:rPr>
                  <m:t>MCS</m:t>
                </m:r>
              </m:sub>
              <m:sup/>
            </m:sSubSup>
            <m:r>
              <w:rPr>
                <w:rFonts w:ascii="Cambria Math" w:hAnsi="Cambria Math" w:cs="Arial"/>
              </w:rPr>
              <m:t>+</m:t>
            </m:r>
            <m:sSub>
              <m:sSubPr>
                <m:ctrlPr>
                  <w:rPr>
                    <w:rFonts w:ascii="Cambria Math" w:hAnsi="Cambria Math" w:cs="Arial"/>
                  </w:rPr>
                </m:ctrlPr>
              </m:sSubPr>
              <m:e>
                <m:r>
                  <w:rPr>
                    <w:rFonts w:ascii="Cambria Math" w:hAnsi="Cambria Math" w:cs="Arial"/>
                  </w:rPr>
                  <m:t>f(i)</m:t>
                </m:r>
              </m:e>
              <m:sub>
                <m:r>
                  <w:rPr>
                    <w:rFonts w:ascii="Cambria Math" w:hAnsi="Cambria Math" w:cs="Arial"/>
                  </w:rPr>
                  <m:t>k</m:t>
                </m:r>
              </m:sub>
            </m:sSub>
          </m:e>
        </m:d>
      </m:oMath>
      <w:r w:rsidR="005C0F1C">
        <w:rPr>
          <w:rFonts w:cs="Arial"/>
        </w:rPr>
        <w:t>.</w:t>
      </w:r>
    </w:p>
    <w:p w14:paraId="54A8FA8A" w14:textId="6BD2F579" w:rsidR="00E74E23" w:rsidRDefault="00E74E23" w:rsidP="005C0F1C">
      <w:pPr>
        <w:pStyle w:val="BodyText"/>
        <w:rPr>
          <w:rFonts w:cs="Arial"/>
        </w:rPr>
      </w:pPr>
      <w:r>
        <w:rPr>
          <w:rFonts w:cs="Arial"/>
        </w:rPr>
        <w:t xml:space="preserve">where </w:t>
      </w:r>
      <w:r w:rsidR="005C0F1C">
        <w:rPr>
          <w:rFonts w:cs="Arial"/>
        </w:rPr>
        <w:t xml:space="preserve">the meaning of </w:t>
      </w:r>
      <m:oMath>
        <m:sSub>
          <m:sSubPr>
            <m:ctrlPr>
              <w:rPr>
                <w:rFonts w:ascii="Cambria Math" w:hAnsi="Cambria Math" w:cs="Arial"/>
              </w:rPr>
            </m:ctrlPr>
          </m:sSubPr>
          <m:e>
            <m:r>
              <w:rPr>
                <w:rFonts w:ascii="Cambria Math" w:hAnsi="Cambria Math" w:cs="Arial"/>
              </w:rPr>
              <m:t>α</m:t>
            </m:r>
          </m:e>
          <m:sub>
            <m:r>
              <w:rPr>
                <w:rFonts w:ascii="Cambria Math" w:hAnsi="Cambria Math" w:cs="Arial"/>
              </w:rPr>
              <m:t>k</m:t>
            </m:r>
          </m:sub>
        </m:sSub>
      </m:oMath>
      <w:r w:rsidR="005C0F1C">
        <w:rPr>
          <w:rFonts w:cs="Arial"/>
        </w:rPr>
        <w:t xml:space="preserve"> ,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r>
              <w:rPr>
                <w:rFonts w:ascii="Cambria Math" w:hAnsi="Cambria Math" w:cs="Arial"/>
              </w:rPr>
              <m:t>k</m:t>
            </m:r>
          </m:sup>
        </m:sSubSup>
      </m:oMath>
      <w:r w:rsidR="005C0F1C">
        <w:rPr>
          <w:rFonts w:cs="Arial"/>
        </w:rPr>
        <w:t xml:space="preserve">  etc. is that these parameters may be configured in a beam specific manner and may thus depend on </w:t>
      </w:r>
      <w:r>
        <w:rPr>
          <w:rFonts w:cs="Arial"/>
          <w:i/>
        </w:rPr>
        <w:t>k</w:t>
      </w:r>
      <w:r w:rsidR="005C0F1C">
        <w:rPr>
          <w:rFonts w:cs="Arial"/>
        </w:rPr>
        <w:t xml:space="preserve">. </w:t>
      </w:r>
      <w:r>
        <w:rPr>
          <w:rFonts w:cs="Arial"/>
        </w:rPr>
        <w:t xml:space="preserve">Hence, one question here is to what extent the closed loop part, </w:t>
      </w:r>
      <w:r w:rsidR="007231D0">
        <w:rPr>
          <w:rFonts w:cs="Arial"/>
        </w:rPr>
        <w:t>i.e.</w:t>
      </w:r>
      <w:r>
        <w:rPr>
          <w:rFonts w:cs="Arial"/>
        </w:rPr>
        <w:t xml:space="preserve"> </w:t>
      </w:r>
      <m:oMath>
        <m:sSub>
          <m:sSubPr>
            <m:ctrlPr>
              <w:rPr>
                <w:rFonts w:ascii="Cambria Math" w:hAnsi="Cambria Math" w:cs="Arial"/>
              </w:rPr>
            </m:ctrlPr>
          </m:sSubPr>
          <m:e>
            <m:r>
              <w:rPr>
                <w:rFonts w:ascii="Cambria Math" w:hAnsi="Cambria Math" w:cs="Arial"/>
              </w:rPr>
              <m:t>f(i)</m:t>
            </m:r>
          </m:e>
          <m:sub>
            <m:r>
              <w:rPr>
                <w:rFonts w:ascii="Cambria Math" w:hAnsi="Cambria Math" w:cs="Arial"/>
              </w:rPr>
              <m:t>k</m:t>
            </m:r>
          </m:sub>
        </m:sSub>
      </m:oMath>
      <w:r>
        <w:rPr>
          <w:rFonts w:cs="Arial"/>
        </w:rPr>
        <w:t xml:space="preserve">, should be beam specific. Potential </w:t>
      </w:r>
      <w:r w:rsidR="0090390D">
        <w:rPr>
          <w:rFonts w:cs="Arial"/>
        </w:rPr>
        <w:t>design choices</w:t>
      </w:r>
      <w:r>
        <w:rPr>
          <w:rFonts w:cs="Arial"/>
        </w:rPr>
        <w:t xml:space="preserve"> include</w:t>
      </w:r>
    </w:p>
    <w:p w14:paraId="028A7ECB" w14:textId="5885A434" w:rsidR="005C0F1C" w:rsidRDefault="00CC04FC" w:rsidP="00E74E23">
      <w:pPr>
        <w:pStyle w:val="BodyText"/>
        <w:numPr>
          <w:ilvl w:val="0"/>
          <w:numId w:val="20"/>
        </w:numPr>
        <w:rPr>
          <w:rFonts w:cs="Arial"/>
        </w:rPr>
      </w:pPr>
      <m:oMath>
        <m:sSub>
          <m:sSubPr>
            <m:ctrlPr>
              <w:rPr>
                <w:rFonts w:ascii="Cambria Math" w:hAnsi="Cambria Math" w:cs="Arial"/>
              </w:rPr>
            </m:ctrlPr>
          </m:sSubPr>
          <m:e>
            <m:r>
              <w:rPr>
                <w:rFonts w:ascii="Cambria Math" w:hAnsi="Cambria Math" w:cs="Arial"/>
              </w:rPr>
              <m:t>f(i)</m:t>
            </m:r>
          </m:e>
          <m:sub>
            <m:r>
              <w:rPr>
                <w:rFonts w:ascii="Cambria Math" w:hAnsi="Cambria Math" w:cs="Arial"/>
              </w:rPr>
              <m:t>k</m:t>
            </m:r>
          </m:sub>
        </m:sSub>
      </m:oMath>
      <w:r w:rsidR="007231D0">
        <w:rPr>
          <w:rFonts w:cs="Arial"/>
        </w:rPr>
        <w:t xml:space="preserve"> is shared for all beams as</w:t>
      </w:r>
      <w:r w:rsidR="00E74E23">
        <w:rPr>
          <w:rFonts w:cs="Arial"/>
        </w:rPr>
        <w:t xml:space="preserve"> </w:t>
      </w:r>
      <m:oMath>
        <m:sSub>
          <m:sSubPr>
            <m:ctrlPr>
              <w:rPr>
                <w:rFonts w:ascii="Cambria Math" w:hAnsi="Cambria Math" w:cs="Arial"/>
              </w:rPr>
            </m:ctrlPr>
          </m:sSubPr>
          <m:e>
            <m:r>
              <w:rPr>
                <w:rFonts w:ascii="Cambria Math" w:hAnsi="Cambria Math" w:cs="Arial"/>
              </w:rPr>
              <m:t>f(i)</m:t>
            </m:r>
          </m:e>
          <m:sub>
            <m:r>
              <w:rPr>
                <w:rFonts w:ascii="Cambria Math" w:hAnsi="Cambria Math" w:cs="Arial"/>
              </w:rPr>
              <m:t>1</m:t>
            </m:r>
          </m:sub>
        </m:sSub>
        <m:r>
          <w:rPr>
            <w:rFonts w:ascii="Cambria Math" w:hAnsi="Cambria Math" w:cs="Arial"/>
          </w:rPr>
          <m:t>=</m:t>
        </m:r>
        <m:sSub>
          <m:sSubPr>
            <m:ctrlPr>
              <w:rPr>
                <w:rFonts w:ascii="Cambria Math" w:hAnsi="Cambria Math" w:cs="Arial"/>
              </w:rPr>
            </m:ctrlPr>
          </m:sSubPr>
          <m:e>
            <m:r>
              <w:rPr>
                <w:rFonts w:ascii="Cambria Math" w:hAnsi="Cambria Math" w:cs="Arial"/>
              </w:rPr>
              <m:t>f(i)</m:t>
            </m:r>
          </m:e>
          <m:sub>
            <m:r>
              <w:rPr>
                <w:rFonts w:ascii="Cambria Math" w:hAnsi="Cambria Math" w:cs="Arial"/>
              </w:rPr>
              <m:t>2</m:t>
            </m:r>
          </m:sub>
        </m:sSub>
        <m:r>
          <w:rPr>
            <w:rFonts w:ascii="Cambria Math" w:hAnsi="Cambria Math" w:cs="Arial"/>
          </w:rPr>
          <m:t>=…=</m:t>
        </m:r>
        <m:sSub>
          <m:sSubPr>
            <m:ctrlPr>
              <w:rPr>
                <w:rFonts w:ascii="Cambria Math" w:hAnsi="Cambria Math" w:cs="Arial"/>
              </w:rPr>
            </m:ctrlPr>
          </m:sSubPr>
          <m:e>
            <m:r>
              <w:rPr>
                <w:rFonts w:ascii="Cambria Math" w:hAnsi="Cambria Math" w:cs="Arial"/>
              </w:rPr>
              <m:t>f</m:t>
            </m:r>
            <m:d>
              <m:dPr>
                <m:ctrlPr>
                  <w:rPr>
                    <w:rFonts w:ascii="Cambria Math" w:hAnsi="Cambria Math" w:cs="Arial"/>
                    <w:i/>
                  </w:rPr>
                </m:ctrlPr>
              </m:dPr>
              <m:e>
                <m:r>
                  <w:rPr>
                    <w:rFonts w:ascii="Cambria Math" w:hAnsi="Cambria Math" w:cs="Arial"/>
                  </w:rPr>
                  <m:t>i</m:t>
                </m:r>
              </m:e>
            </m:d>
          </m:e>
          <m:sub>
            <m:r>
              <w:rPr>
                <w:rFonts w:ascii="Cambria Math" w:hAnsi="Cambria Math" w:cs="Arial"/>
              </w:rPr>
              <m:t>K</m:t>
            </m:r>
          </m:sub>
        </m:sSub>
        <m:r>
          <w:rPr>
            <w:rFonts w:ascii="Cambria Math" w:hAnsi="Cambria Math" w:cs="Arial"/>
          </w:rPr>
          <m:t>=</m:t>
        </m:r>
        <m:sSub>
          <m:sSubPr>
            <m:ctrlPr>
              <w:rPr>
                <w:rFonts w:ascii="Cambria Math" w:hAnsi="Cambria Math" w:cs="Arial"/>
              </w:rPr>
            </m:ctrlPr>
          </m:sSubPr>
          <m:e>
            <m:r>
              <w:rPr>
                <w:rFonts w:ascii="Cambria Math" w:hAnsi="Cambria Math" w:cs="Arial"/>
              </w:rPr>
              <m:t>f(i)</m:t>
            </m:r>
          </m:e>
          <m:sub/>
        </m:sSub>
      </m:oMath>
      <w:r w:rsidR="00E74E23">
        <w:rPr>
          <w:rFonts w:cs="Arial"/>
        </w:rPr>
        <w:t xml:space="preserve"> where K is the number of beams</w:t>
      </w:r>
      <w:r w:rsidR="007231D0">
        <w:rPr>
          <w:rFonts w:cs="Arial"/>
        </w:rPr>
        <w:t xml:space="preserve"> and TPC is</w:t>
      </w:r>
      <w:r w:rsidR="005C0267">
        <w:rPr>
          <w:rFonts w:cs="Arial"/>
        </w:rPr>
        <w:t xml:space="preserve"> applied to </w:t>
      </w:r>
      <w:r w:rsidR="005C0267" w:rsidRPr="005C0267">
        <w:rPr>
          <w:rFonts w:cs="Arial"/>
          <w:i/>
        </w:rPr>
        <w:t>f(i)</w:t>
      </w:r>
      <w:r w:rsidR="00E74E23">
        <w:rPr>
          <w:rFonts w:cs="Arial"/>
        </w:rPr>
        <w:t xml:space="preserve">. </w:t>
      </w:r>
    </w:p>
    <w:p w14:paraId="684A2C88" w14:textId="00381D72" w:rsidR="00E74E23" w:rsidRDefault="00CC04FC" w:rsidP="00E74E23">
      <w:pPr>
        <w:pStyle w:val="BodyText"/>
        <w:numPr>
          <w:ilvl w:val="0"/>
          <w:numId w:val="20"/>
        </w:numPr>
        <w:rPr>
          <w:rFonts w:cs="Arial"/>
        </w:rPr>
      </w:pPr>
      <m:oMath>
        <m:sSub>
          <m:sSubPr>
            <m:ctrlPr>
              <w:rPr>
                <w:rFonts w:ascii="Cambria Math" w:hAnsi="Cambria Math" w:cs="Arial"/>
              </w:rPr>
            </m:ctrlPr>
          </m:sSubPr>
          <m:e>
            <m:r>
              <w:rPr>
                <w:rFonts w:ascii="Cambria Math" w:hAnsi="Cambria Math" w:cs="Arial"/>
              </w:rPr>
              <m:t>f(i)</m:t>
            </m:r>
          </m:e>
          <m:sub>
            <m:r>
              <w:rPr>
                <w:rFonts w:ascii="Cambria Math" w:hAnsi="Cambria Math" w:cs="Arial"/>
              </w:rPr>
              <m:t>k</m:t>
            </m:r>
          </m:sub>
        </m:sSub>
      </m:oMath>
      <w:r w:rsidR="00E74E23">
        <w:rPr>
          <w:rFonts w:cs="Arial"/>
        </w:rPr>
        <w:t xml:space="preserve"> is taken from a set of </w:t>
      </w:r>
      <w:r w:rsidR="00045C36">
        <w:rPr>
          <w:rFonts w:cs="Arial"/>
        </w:rPr>
        <w:t>closed</w:t>
      </w:r>
      <w:r w:rsidR="00E74E23">
        <w:rPr>
          <w:rFonts w:cs="Arial"/>
        </w:rPr>
        <w:t xml:space="preserve"> loop states {</w:t>
      </w:r>
      <m:oMath>
        <m:sSubSup>
          <m:sSubSupPr>
            <m:ctrlPr>
              <w:rPr>
                <w:rFonts w:ascii="Cambria Math" w:hAnsi="Cambria Math" w:cs="Arial"/>
                <w:i/>
              </w:rPr>
            </m:ctrlPr>
          </m:sSubSupPr>
          <m:e>
            <m:r>
              <w:rPr>
                <w:rFonts w:ascii="Cambria Math" w:hAnsi="Cambria Math" w:cs="Arial"/>
              </w:rPr>
              <m:t>f(i)</m:t>
            </m:r>
          </m:e>
          <m:sub/>
          <m:sup>
            <m:r>
              <w:rPr>
                <w:rFonts w:ascii="Cambria Math" w:hAnsi="Cambria Math" w:cs="Arial"/>
              </w:rPr>
              <m:t>(1)</m:t>
            </m:r>
          </m:sup>
        </m:sSubSup>
        <m:r>
          <m:rPr>
            <m:sty m:val="p"/>
          </m:rP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f(i)</m:t>
            </m:r>
          </m:e>
          <m:sub/>
          <m:sup>
            <m:r>
              <w:rPr>
                <w:rFonts w:ascii="Cambria Math" w:hAnsi="Cambria Math" w:cs="Arial"/>
              </w:rPr>
              <m:t>(2)</m:t>
            </m:r>
          </m:sup>
        </m:sSubSup>
        <m:r>
          <w:rPr>
            <w:rFonts w:ascii="Cambria Math" w:hAnsi="Cambria Math" w:cs="Arial"/>
          </w:rPr>
          <m:t xml:space="preserve">, …, </m:t>
        </m:r>
        <m:sSubSup>
          <m:sSubSupPr>
            <m:ctrlPr>
              <w:rPr>
                <w:rFonts w:ascii="Cambria Math" w:hAnsi="Cambria Math" w:cs="Arial"/>
                <w:i/>
              </w:rPr>
            </m:ctrlPr>
          </m:sSubSupPr>
          <m:e>
            <m:r>
              <w:rPr>
                <w:rFonts w:ascii="Cambria Math" w:hAnsi="Cambria Math" w:cs="Arial"/>
              </w:rPr>
              <m:t>f(i)</m:t>
            </m:r>
          </m:e>
          <m:sub/>
          <m:sup>
            <m:r>
              <w:rPr>
                <w:rFonts w:ascii="Cambria Math" w:hAnsi="Cambria Math" w:cs="Arial"/>
              </w:rPr>
              <m:t>(N)</m:t>
            </m:r>
          </m:sup>
        </m:sSubSup>
        <m:r>
          <w:rPr>
            <w:rFonts w:ascii="Cambria Math" w:hAnsi="Cambria Math" w:cs="Arial"/>
          </w:rPr>
          <m:t>}</m:t>
        </m:r>
      </m:oMath>
      <w:r w:rsidR="00E74E23">
        <w:rPr>
          <w:rFonts w:cs="Arial"/>
        </w:rPr>
        <w:t xml:space="preserve"> where N&lt;K </w:t>
      </w:r>
      <w:r w:rsidR="007231D0">
        <w:rPr>
          <w:rFonts w:cs="Arial"/>
        </w:rPr>
        <w:t>and TPC is</w:t>
      </w:r>
      <w:r w:rsidR="005C0267">
        <w:rPr>
          <w:rFonts w:cs="Arial"/>
        </w:rPr>
        <w:t xml:space="preserve"> applied to </w:t>
      </w:r>
      <m:oMath>
        <m:sSubSup>
          <m:sSubSupPr>
            <m:ctrlPr>
              <w:rPr>
                <w:rFonts w:ascii="Cambria Math" w:hAnsi="Cambria Math" w:cs="Arial"/>
                <w:i/>
              </w:rPr>
            </m:ctrlPr>
          </m:sSubSupPr>
          <m:e>
            <m:r>
              <w:rPr>
                <w:rFonts w:ascii="Cambria Math" w:hAnsi="Cambria Math" w:cs="Arial"/>
              </w:rPr>
              <m:t>f(i)</m:t>
            </m:r>
          </m:e>
          <m:sub/>
          <m:sup>
            <m:r>
              <w:rPr>
                <w:rFonts w:ascii="Cambria Math" w:hAnsi="Cambria Math" w:cs="Arial"/>
              </w:rPr>
              <m:t>(n)</m:t>
            </m:r>
          </m:sup>
        </m:sSubSup>
      </m:oMath>
      <w:r w:rsidR="005C0267">
        <w:rPr>
          <w:rFonts w:cs="Arial"/>
        </w:rPr>
        <w:t>.</w:t>
      </w:r>
    </w:p>
    <w:p w14:paraId="1958C1B1" w14:textId="71ADF11C" w:rsidR="00E74E23" w:rsidRDefault="00E74E23" w:rsidP="00E74E23">
      <w:pPr>
        <w:pStyle w:val="BodyText"/>
        <w:numPr>
          <w:ilvl w:val="0"/>
          <w:numId w:val="20"/>
        </w:numPr>
        <w:rPr>
          <w:rFonts w:cs="Arial"/>
        </w:rPr>
      </w:pPr>
      <w:r>
        <w:rPr>
          <w:rFonts w:cs="Arial"/>
        </w:rPr>
        <w:t xml:space="preserve">Each </w:t>
      </w:r>
      <m:oMath>
        <m:sSub>
          <m:sSubPr>
            <m:ctrlPr>
              <w:rPr>
                <w:rFonts w:ascii="Cambria Math" w:hAnsi="Cambria Math" w:cs="Arial"/>
              </w:rPr>
            </m:ctrlPr>
          </m:sSubPr>
          <m:e>
            <m:r>
              <w:rPr>
                <w:rFonts w:ascii="Cambria Math" w:hAnsi="Cambria Math" w:cs="Arial"/>
              </w:rPr>
              <m:t>f(i)</m:t>
            </m:r>
          </m:e>
          <m:sub>
            <m:r>
              <w:rPr>
                <w:rFonts w:ascii="Cambria Math" w:hAnsi="Cambria Math" w:cs="Arial"/>
              </w:rPr>
              <m:t>k</m:t>
            </m:r>
          </m:sub>
        </m:sSub>
      </m:oMath>
      <w:r w:rsidR="007231D0">
        <w:rPr>
          <w:rFonts w:cs="Arial"/>
        </w:rPr>
        <w:t xml:space="preserve"> is unique meaning that</w:t>
      </w:r>
      <w:r>
        <w:rPr>
          <w:rFonts w:cs="Arial"/>
        </w:rPr>
        <w:t xml:space="preserve"> there is one </w:t>
      </w:r>
      <w:r w:rsidR="00045C36">
        <w:rPr>
          <w:rFonts w:cs="Arial"/>
        </w:rPr>
        <w:t>closed</w:t>
      </w:r>
      <w:r>
        <w:rPr>
          <w:rFonts w:cs="Arial"/>
        </w:rPr>
        <w:t xml:space="preserve"> loop part per beam</w:t>
      </w:r>
      <w:r w:rsidR="00023C74">
        <w:rPr>
          <w:rFonts w:cs="Arial"/>
        </w:rPr>
        <w:t xml:space="preserve"> and TPC is applied per beam</w:t>
      </w:r>
      <w:r>
        <w:rPr>
          <w:rFonts w:cs="Arial"/>
        </w:rPr>
        <w:t xml:space="preserve">. </w:t>
      </w:r>
    </w:p>
    <w:p w14:paraId="4B02D503" w14:textId="10C48D69" w:rsidR="00ED2053" w:rsidRPr="00566162" w:rsidRDefault="0045243A" w:rsidP="00ED2053">
      <w:pPr>
        <w:pStyle w:val="BodyText"/>
      </w:pPr>
      <w:r>
        <w:rPr>
          <w:lang w:val="en-AU"/>
        </w:rPr>
        <w:t>We discuss these options based on the</w:t>
      </w:r>
      <w:r w:rsidR="005C0F1C">
        <w:rPr>
          <w:lang w:val="en-AU"/>
        </w:rPr>
        <w:t xml:space="preserve"> illustrations</w:t>
      </w:r>
      <w:r>
        <w:rPr>
          <w:lang w:val="en-AU"/>
        </w:rPr>
        <w:t xml:space="preserve"> below</w:t>
      </w:r>
      <w:r w:rsidR="005C0F1C">
        <w:rPr>
          <w:lang w:val="en-AU"/>
        </w:rPr>
        <w:t>.</w:t>
      </w:r>
      <w:r w:rsidR="0090390D">
        <w:rPr>
          <w:lang w:val="en-AU"/>
        </w:rPr>
        <w:t xml:space="preserve"> </w:t>
      </w:r>
    </w:p>
    <w:p w14:paraId="46B2A5D6" w14:textId="77777777" w:rsidR="00ED2053" w:rsidRPr="00645080" w:rsidRDefault="00ED2053" w:rsidP="00ED2053">
      <w:pPr>
        <w:pStyle w:val="BodyText"/>
        <w:rPr>
          <w:lang w:val="en-AU"/>
        </w:rPr>
      </w:pPr>
      <w:r>
        <w:rPr>
          <w:noProof/>
          <w:lang w:val="en-US" w:eastAsia="en-US"/>
        </w:rPr>
        <w:drawing>
          <wp:inline distT="0" distB="0" distL="0" distR="0" wp14:anchorId="75143426" wp14:editId="23218886">
            <wp:extent cx="3652520" cy="188304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3926" cy="1883769"/>
                    </a:xfrm>
                    <a:prstGeom prst="rect">
                      <a:avLst/>
                    </a:prstGeom>
                    <a:noFill/>
                  </pic:spPr>
                </pic:pic>
              </a:graphicData>
            </a:graphic>
          </wp:inline>
        </w:drawing>
      </w:r>
    </w:p>
    <w:p w14:paraId="4E90E319" w14:textId="77777777" w:rsidR="00ED2053" w:rsidRPr="00645080" w:rsidRDefault="00ED2053" w:rsidP="00ED2053">
      <w:pPr>
        <w:pStyle w:val="BodyText"/>
        <w:rPr>
          <w:i/>
          <w:iCs/>
        </w:rPr>
      </w:pPr>
      <w:bookmarkStart w:id="4" w:name="_Ref491267693"/>
      <w:r w:rsidRPr="00645080">
        <w:rPr>
          <w:i/>
          <w:iCs/>
        </w:rPr>
        <w:t xml:space="preserve">Figure </w:t>
      </w:r>
      <w:r w:rsidRPr="00645080">
        <w:rPr>
          <w:i/>
          <w:iCs/>
        </w:rPr>
        <w:fldChar w:fldCharType="begin"/>
      </w:r>
      <w:r w:rsidRPr="00645080">
        <w:rPr>
          <w:i/>
          <w:iCs/>
        </w:rPr>
        <w:instrText xml:space="preserve"> SEQ Figure \* ARABIC </w:instrText>
      </w:r>
      <w:r w:rsidRPr="00645080">
        <w:rPr>
          <w:i/>
          <w:iCs/>
        </w:rPr>
        <w:fldChar w:fldCharType="separate"/>
      </w:r>
      <w:r w:rsidRPr="00645080">
        <w:rPr>
          <w:i/>
          <w:iCs/>
        </w:rPr>
        <w:t>1</w:t>
      </w:r>
      <w:r w:rsidRPr="00645080">
        <w:fldChar w:fldCharType="end"/>
      </w:r>
      <w:bookmarkEnd w:id="4"/>
      <w:r w:rsidRPr="00645080">
        <w:rPr>
          <w:i/>
          <w:iCs/>
        </w:rPr>
        <w:t>. Beam specific PC from one TRP</w:t>
      </w:r>
    </w:p>
    <w:p w14:paraId="2765268D" w14:textId="77777777" w:rsidR="00ED2053" w:rsidRPr="00645080" w:rsidRDefault="00ED2053" w:rsidP="00ED2053">
      <w:pPr>
        <w:pStyle w:val="BodyText"/>
        <w:rPr>
          <w:i/>
          <w:iCs/>
        </w:rPr>
      </w:pPr>
      <w:r>
        <w:rPr>
          <w:i/>
          <w:iCs/>
          <w:noProof/>
          <w:lang w:val="en-US" w:eastAsia="en-US"/>
        </w:rPr>
        <w:drawing>
          <wp:inline distT="0" distB="0" distL="0" distR="0" wp14:anchorId="587F33C0" wp14:editId="05474875">
            <wp:extent cx="3633849" cy="1723059"/>
            <wp:effectExtent l="0" t="0" r="508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8047" cy="1739275"/>
                    </a:xfrm>
                    <a:prstGeom prst="rect">
                      <a:avLst/>
                    </a:prstGeom>
                    <a:noFill/>
                  </pic:spPr>
                </pic:pic>
              </a:graphicData>
            </a:graphic>
          </wp:inline>
        </w:drawing>
      </w:r>
    </w:p>
    <w:p w14:paraId="6E84BB59" w14:textId="77777777" w:rsidR="00ED2053" w:rsidRPr="00645080" w:rsidRDefault="00ED2053" w:rsidP="00ED2053">
      <w:pPr>
        <w:pStyle w:val="BodyText"/>
        <w:rPr>
          <w:i/>
          <w:iCs/>
        </w:rPr>
      </w:pPr>
      <w:bookmarkStart w:id="5" w:name="_Ref491267686"/>
      <w:bookmarkStart w:id="6" w:name="_Ref491267680"/>
      <w:r w:rsidRPr="00645080">
        <w:rPr>
          <w:i/>
          <w:iCs/>
        </w:rPr>
        <w:t xml:space="preserve">Figure </w:t>
      </w:r>
      <w:r w:rsidRPr="00645080">
        <w:rPr>
          <w:i/>
          <w:iCs/>
        </w:rPr>
        <w:fldChar w:fldCharType="begin"/>
      </w:r>
      <w:r w:rsidRPr="00645080">
        <w:rPr>
          <w:i/>
          <w:iCs/>
        </w:rPr>
        <w:instrText xml:space="preserve"> SEQ Figure \* ARABIC </w:instrText>
      </w:r>
      <w:r w:rsidRPr="00645080">
        <w:rPr>
          <w:i/>
          <w:iCs/>
        </w:rPr>
        <w:fldChar w:fldCharType="separate"/>
      </w:r>
      <w:r w:rsidRPr="00645080">
        <w:rPr>
          <w:i/>
          <w:iCs/>
        </w:rPr>
        <w:t>2</w:t>
      </w:r>
      <w:r w:rsidRPr="00645080">
        <w:fldChar w:fldCharType="end"/>
      </w:r>
      <w:bookmarkEnd w:id="5"/>
      <w:r w:rsidRPr="00645080">
        <w:rPr>
          <w:i/>
          <w:iCs/>
        </w:rPr>
        <w:t xml:space="preserve"> Beam specific PC from multiple TRPs.</w:t>
      </w:r>
      <w:bookmarkEnd w:id="6"/>
      <w:r w:rsidRPr="00645080">
        <w:rPr>
          <w:i/>
          <w:iCs/>
        </w:rPr>
        <w:t xml:space="preserve"> </w:t>
      </w:r>
    </w:p>
    <w:p w14:paraId="32D2D32D" w14:textId="7C8364F5" w:rsidR="00566162" w:rsidRPr="00566162" w:rsidRDefault="00566162" w:rsidP="00566162">
      <w:pPr>
        <w:pStyle w:val="BodyText"/>
        <w:keepLines/>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lang w:val="en-AU"/>
        </w:rPr>
      </w:pPr>
      <w:bookmarkStart w:id="7" w:name="_Hlk492472402"/>
      <w:r>
        <w:t>One use case for beam specific PC is when beam management is used and two beams are maintained as</w:t>
      </w:r>
      <w:r w:rsidR="007231D0">
        <w:t xml:space="preserve"> illustrated in</w:t>
      </w:r>
      <w:r>
        <w:t xml:space="preserve"> </w:t>
      </w:r>
      <w:r>
        <w:fldChar w:fldCharType="begin"/>
      </w:r>
      <w:r>
        <w:instrText xml:space="preserve"> REF _Ref491267693 \h </w:instrText>
      </w:r>
      <w:r>
        <w:fldChar w:fldCharType="separate"/>
      </w:r>
      <w:r w:rsidRPr="00645080">
        <w:rPr>
          <w:i/>
          <w:iCs/>
        </w:rPr>
        <w:t>Figure 1</w:t>
      </w:r>
      <w:r>
        <w:fldChar w:fldCharType="end"/>
      </w:r>
      <w:r w:rsidR="007231D0">
        <w:t xml:space="preserve"> and</w:t>
      </w:r>
      <w:r>
        <w:t xml:space="preserve"> </w:t>
      </w:r>
      <w:r>
        <w:fldChar w:fldCharType="begin"/>
      </w:r>
      <w:r>
        <w:instrText xml:space="preserve"> REF _Ref491267686 \h </w:instrText>
      </w:r>
      <w:r>
        <w:fldChar w:fldCharType="separate"/>
      </w:r>
      <w:r w:rsidRPr="00645080">
        <w:rPr>
          <w:i/>
          <w:iCs/>
        </w:rPr>
        <w:t>Figure 2</w:t>
      </w:r>
      <w:r>
        <w:fldChar w:fldCharType="end"/>
      </w:r>
      <w:r>
        <w:t xml:space="preserve">. In case of blockage there may be a need to switch beam for PDSCH from Beam1 to Beam2 which is done with beam indication. This may in turn mean that also a beam switch for PUSCH should be done and we therefore switch from UL beam 1 (UL1) to UL beam 2 (UL2) also here. Due to that the UE is monitoring both RS1 and RS2, corresponding to reference signals for the separate PC loops PC1 and PC2, we could immediately adjust UL power by switching from PC1 to PC2. In summary, this allows us to quickly adjust UL power when conducting a beam switch. For the question on closed loop PC we note that </w:t>
      </w:r>
    </w:p>
    <w:p w14:paraId="36BE5EC0" w14:textId="2E9E2E84" w:rsidR="000C70F0" w:rsidRDefault="000C70F0" w:rsidP="000C70F0">
      <w:pPr>
        <w:pStyle w:val="BodyText"/>
        <w:keepLines/>
        <w:numPr>
          <w:ilvl w:val="0"/>
          <w:numId w:val="17"/>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r>
        <w:lastRenderedPageBreak/>
        <w:t xml:space="preserve">In the example in </w:t>
      </w:r>
      <w:r>
        <w:fldChar w:fldCharType="begin"/>
      </w:r>
      <w:r>
        <w:instrText xml:space="preserve"> REF _Ref491267693 \h </w:instrText>
      </w:r>
      <w:r>
        <w:fldChar w:fldCharType="separate"/>
      </w:r>
      <w:r w:rsidRPr="00645080">
        <w:rPr>
          <w:i/>
          <w:iCs/>
        </w:rPr>
        <w:t>Figure 1</w:t>
      </w:r>
      <w:r>
        <w:fldChar w:fldCharType="end"/>
      </w:r>
      <w:r>
        <w:t xml:space="preserve"> it may be beneficial for the unused beam </w:t>
      </w:r>
      <w:r w:rsidR="00566162">
        <w:t xml:space="preserve">Beam2 </w:t>
      </w:r>
      <w:r>
        <w:t xml:space="preserve">to inherit the TPC from the used beam </w:t>
      </w:r>
      <w:r w:rsidR="00566162">
        <w:t xml:space="preserve">Beam1 </w:t>
      </w:r>
      <w:r>
        <w:t xml:space="preserve">since TPC in </w:t>
      </w:r>
      <w:r w:rsidR="00566162">
        <w:t xml:space="preserve">this </w:t>
      </w:r>
      <w:r>
        <w:t>may be used to compensate for the interference level in the</w:t>
      </w:r>
      <w:r w:rsidR="007231D0">
        <w:t xml:space="preserve"> network. It may be so that interference</w:t>
      </w:r>
      <w:r>
        <w:t xml:space="preserve"> level is similar in both beams from a single TRP. Hence, </w:t>
      </w:r>
      <w:r w:rsidR="00566162">
        <w:t xml:space="preserve">to make these beams </w:t>
      </w:r>
      <w:r>
        <w:t>share the same closed loop part</w:t>
      </w:r>
      <w:r w:rsidR="00566162">
        <w:t xml:space="preserve"> appears sensible</w:t>
      </w:r>
      <w:r>
        <w:t xml:space="preserve">.  </w:t>
      </w:r>
    </w:p>
    <w:p w14:paraId="29413E9A" w14:textId="77777777" w:rsidR="00566162" w:rsidRDefault="000C70F0" w:rsidP="000C70F0">
      <w:pPr>
        <w:pStyle w:val="BodyText"/>
        <w:keepLines/>
        <w:numPr>
          <w:ilvl w:val="0"/>
          <w:numId w:val="17"/>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r>
        <w:t xml:space="preserve">In the example in </w:t>
      </w:r>
      <w:r>
        <w:fldChar w:fldCharType="begin"/>
      </w:r>
      <w:r>
        <w:instrText xml:space="preserve"> REF _Ref491267686 \h </w:instrText>
      </w:r>
      <w:r>
        <w:fldChar w:fldCharType="separate"/>
      </w:r>
      <w:r w:rsidRPr="00645080">
        <w:rPr>
          <w:i/>
          <w:iCs/>
        </w:rPr>
        <w:t>Figure 2</w:t>
      </w:r>
      <w:r>
        <w:fldChar w:fldCharType="end"/>
      </w:r>
      <w:r>
        <w:t xml:space="preserve"> the contrary holds, here we expect that these close loop </w:t>
      </w:r>
      <w:r w:rsidR="00B61E3F">
        <w:t>behaviours</w:t>
      </w:r>
      <w:r>
        <w:t xml:space="preserve"> will be rather uncorrelated and they should thus operate rather independently.</w:t>
      </w:r>
    </w:p>
    <w:p w14:paraId="6A08DD8D" w14:textId="77777777" w:rsidR="00FB67CB" w:rsidRDefault="00566162" w:rsidP="00566162">
      <w:pPr>
        <w:pStyle w:val="BodyText"/>
        <w:keepLines/>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r>
        <w:t>Due to this we propose</w:t>
      </w:r>
    </w:p>
    <w:p w14:paraId="75D7F39A" w14:textId="31CE9AFD" w:rsidR="0045243A" w:rsidRPr="00ED2053" w:rsidRDefault="00FB67CB" w:rsidP="0045243A">
      <w:pPr>
        <w:pStyle w:val="Proposal"/>
      </w:pPr>
      <w:bookmarkStart w:id="8" w:name="_Toc492484452"/>
      <w:bookmarkStart w:id="9" w:name="_Toc492494497"/>
      <w:bookmarkStart w:id="10" w:name="_Toc492586725"/>
      <w:r>
        <w:t>Make a single closed loop process default and s</w:t>
      </w:r>
      <w:r w:rsidR="00566162">
        <w:t xml:space="preserve">upport multiple </w:t>
      </w:r>
      <w:r w:rsidR="001362C7">
        <w:t>closed</w:t>
      </w:r>
      <w:r w:rsidR="00566162">
        <w:t xml:space="preserve"> loop processes </w:t>
      </w:r>
      <w:r>
        <w:t xml:space="preserve">by configuration </w:t>
      </w:r>
      <w:r w:rsidR="00D03609">
        <w:t>in case of beam specific PC</w:t>
      </w:r>
      <w:r w:rsidR="00566162">
        <w:t>.</w:t>
      </w:r>
      <w:bookmarkEnd w:id="8"/>
      <w:bookmarkEnd w:id="9"/>
      <w:bookmarkEnd w:id="10"/>
      <w:r w:rsidR="00566162">
        <w:t xml:space="preserve"> </w:t>
      </w:r>
      <w:bookmarkEnd w:id="7"/>
    </w:p>
    <w:p w14:paraId="2C539D2D" w14:textId="244E7EA9" w:rsidR="00DA2B6D" w:rsidRPr="00465526" w:rsidRDefault="00ED2053" w:rsidP="00ED2053">
      <w:pPr>
        <w:pStyle w:val="Heading1"/>
      </w:pPr>
      <w:r>
        <w:t>Explicit r</w:t>
      </w:r>
      <w:r w:rsidR="00DA2B6D">
        <w:t xml:space="preserve">eset </w:t>
      </w:r>
      <w:r>
        <w:t xml:space="preserve">of the </w:t>
      </w:r>
      <w:r w:rsidR="005014ED">
        <w:t>closed</w:t>
      </w:r>
      <w:r w:rsidR="00DA2B6D">
        <w:t xml:space="preserve"> </w:t>
      </w:r>
      <w:r>
        <w:t xml:space="preserve">loop </w:t>
      </w:r>
      <w:r w:rsidR="00DA2B6D">
        <w:t>PC part</w:t>
      </w:r>
      <w:bookmarkEnd w:id="3"/>
    </w:p>
    <w:p w14:paraId="0BA4A619" w14:textId="7D6D3D01" w:rsidR="005014ED" w:rsidRDefault="005014ED" w:rsidP="005014ED">
      <w:pPr>
        <w:pStyle w:val="BodyText"/>
        <w:rPr>
          <w:lang w:val="en-AU"/>
        </w:rPr>
      </w:pPr>
      <w:r>
        <w:rPr>
          <w:lang w:val="en-AU"/>
        </w:rPr>
        <w:t xml:space="preserve">Another problem with the closed loop PC in NR is that new features introduced will imply that situations may occur when a TPC </w:t>
      </w:r>
      <w:r w:rsidR="007231D0">
        <w:rPr>
          <w:lang w:val="en-AU"/>
        </w:rPr>
        <w:t>command</w:t>
      </w:r>
      <w:r>
        <w:rPr>
          <w:lang w:val="en-AU"/>
        </w:rPr>
        <w:t xml:space="preserve"> has </w:t>
      </w:r>
      <w:r w:rsidR="007231D0">
        <w:rPr>
          <w:lang w:val="en-AU"/>
        </w:rPr>
        <w:t xml:space="preserve">not </w:t>
      </w:r>
      <w:r>
        <w:rPr>
          <w:lang w:val="en-AU"/>
        </w:rPr>
        <w:t xml:space="preserve">been given in a long while. Examples are </w:t>
      </w:r>
    </w:p>
    <w:p w14:paraId="4684D0D1" w14:textId="75B8FBFB" w:rsidR="005014ED" w:rsidRPr="00465526" w:rsidRDefault="005014ED" w:rsidP="005014ED">
      <w:pPr>
        <w:pStyle w:val="BodyText"/>
        <w:keepLines/>
        <w:numPr>
          <w:ilvl w:val="0"/>
          <w:numId w:val="17"/>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lang w:val="en-AU"/>
        </w:rPr>
      </w:pPr>
      <w:r>
        <w:rPr>
          <w:lang w:val="en-AU"/>
        </w:rPr>
        <w:t xml:space="preserve">In case that an aperiodic SRS has </w:t>
      </w:r>
      <w:r w:rsidRPr="00465526">
        <w:rPr>
          <w:lang w:val="en-AU"/>
        </w:rPr>
        <w:t xml:space="preserve">not been </w:t>
      </w:r>
      <w:r w:rsidR="00FB0E3E">
        <w:rPr>
          <w:lang w:val="en-AU"/>
        </w:rPr>
        <w:t xml:space="preserve">triggered and </w:t>
      </w:r>
      <w:r w:rsidRPr="00465526">
        <w:rPr>
          <w:lang w:val="en-AU"/>
        </w:rPr>
        <w:t xml:space="preserve">transmitted in a long while </w:t>
      </w:r>
      <w:r>
        <w:rPr>
          <w:lang w:val="en-AU"/>
        </w:rPr>
        <w:t xml:space="preserve">this may </w:t>
      </w:r>
      <w:r w:rsidR="00FB0E3E">
        <w:rPr>
          <w:lang w:val="en-AU"/>
        </w:rPr>
        <w:t>imply</w:t>
      </w:r>
      <w:r>
        <w:rPr>
          <w:lang w:val="en-AU"/>
        </w:rPr>
        <w:t xml:space="preserve"> that</w:t>
      </w:r>
      <w:r w:rsidRPr="00465526">
        <w:rPr>
          <w:lang w:val="en-AU"/>
        </w:rPr>
        <w:t xml:space="preserve"> </w:t>
      </w:r>
      <w:r>
        <w:rPr>
          <w:lang w:val="en-AU"/>
        </w:rPr>
        <w:t xml:space="preserve">the closed loop part is outdated and it would hence be beneficial </w:t>
      </w:r>
      <w:r w:rsidRPr="00465526">
        <w:rPr>
          <w:lang w:val="en-AU"/>
        </w:rPr>
        <w:t xml:space="preserve">to </w:t>
      </w:r>
      <w:r>
        <w:rPr>
          <w:lang w:val="en-AU"/>
        </w:rPr>
        <w:t xml:space="preserve">do an explicit </w:t>
      </w:r>
      <w:r w:rsidRPr="00465526">
        <w:rPr>
          <w:lang w:val="en-AU"/>
        </w:rPr>
        <w:t xml:space="preserve">reset the </w:t>
      </w:r>
      <w:r>
        <w:rPr>
          <w:lang w:val="en-AU"/>
        </w:rPr>
        <w:t>closed</w:t>
      </w:r>
      <w:r w:rsidRPr="00465526">
        <w:rPr>
          <w:lang w:val="en-AU"/>
        </w:rPr>
        <w:t xml:space="preserve"> loop part (in case of aggregated mode)</w:t>
      </w:r>
      <w:r>
        <w:rPr>
          <w:lang w:val="en-AU"/>
        </w:rPr>
        <w:t xml:space="preserve"> instead of using the </w:t>
      </w:r>
      <w:r w:rsidR="00FB0E3E">
        <w:rPr>
          <w:lang w:val="en-AU"/>
        </w:rPr>
        <w:t xml:space="preserve">outdated </w:t>
      </w:r>
      <w:r>
        <w:rPr>
          <w:lang w:val="en-AU"/>
        </w:rPr>
        <w:t xml:space="preserve">aggregated value. On the other hand, if the SRS has </w:t>
      </w:r>
      <w:r w:rsidRPr="00465526">
        <w:rPr>
          <w:lang w:val="en-AU"/>
        </w:rPr>
        <w:t xml:space="preserve">been transmitted recently </w:t>
      </w:r>
      <w:r>
        <w:rPr>
          <w:lang w:val="en-AU"/>
        </w:rPr>
        <w:t xml:space="preserve">we would rather prefer to not </w:t>
      </w:r>
      <w:r w:rsidRPr="00465526">
        <w:rPr>
          <w:lang w:val="en-AU"/>
        </w:rPr>
        <w:t xml:space="preserve">reset </w:t>
      </w:r>
      <w:r>
        <w:rPr>
          <w:lang w:val="en-AU"/>
        </w:rPr>
        <w:t xml:space="preserve">closed loop part. </w:t>
      </w:r>
    </w:p>
    <w:p w14:paraId="294AEAF7" w14:textId="76A6FD81" w:rsidR="005014ED" w:rsidRDefault="005014ED" w:rsidP="005014ED">
      <w:pPr>
        <w:pStyle w:val="BodyText"/>
        <w:keepLines/>
        <w:numPr>
          <w:ilvl w:val="0"/>
          <w:numId w:val="17"/>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lang w:val="en-AU"/>
        </w:rPr>
      </w:pPr>
      <w:r>
        <w:rPr>
          <w:lang w:val="en-AU"/>
        </w:rPr>
        <w:t xml:space="preserve">The same problem occurs in beam specific PC when </w:t>
      </w:r>
      <w:r w:rsidRPr="005014ED">
        <w:rPr>
          <w:lang w:val="en-AU"/>
        </w:rPr>
        <w:t xml:space="preserve">the </w:t>
      </w:r>
      <w:proofErr w:type="spellStart"/>
      <w:r w:rsidRPr="005014ED">
        <w:rPr>
          <w:lang w:val="en-AU"/>
        </w:rPr>
        <w:t>gNB</w:t>
      </w:r>
      <w:proofErr w:type="spellEnd"/>
      <w:r w:rsidRPr="005014ED">
        <w:rPr>
          <w:lang w:val="en-AU"/>
        </w:rPr>
        <w:t xml:space="preserve"> redirects its beam</w:t>
      </w:r>
      <w:r>
        <w:rPr>
          <w:lang w:val="en-AU"/>
        </w:rPr>
        <w:t xml:space="preserve">; in this case </w:t>
      </w:r>
      <w:r w:rsidRPr="005014ED">
        <w:rPr>
          <w:lang w:val="en-AU"/>
        </w:rPr>
        <w:t xml:space="preserve">to </w:t>
      </w:r>
      <w:r>
        <w:rPr>
          <w:lang w:val="en-AU"/>
        </w:rPr>
        <w:t>closed</w:t>
      </w:r>
      <w:r w:rsidRPr="005014ED">
        <w:rPr>
          <w:lang w:val="en-AU"/>
        </w:rPr>
        <w:t xml:space="preserve"> loop PC </w:t>
      </w:r>
      <w:r>
        <w:rPr>
          <w:lang w:val="en-AU"/>
        </w:rPr>
        <w:t xml:space="preserve">part of the beam corresponding to the old direction </w:t>
      </w:r>
      <w:r w:rsidRPr="005014ED">
        <w:rPr>
          <w:lang w:val="en-AU"/>
        </w:rPr>
        <w:t xml:space="preserve">may be irrelevant </w:t>
      </w:r>
      <w:r>
        <w:rPr>
          <w:lang w:val="en-AU"/>
        </w:rPr>
        <w:t>for</w:t>
      </w:r>
      <w:r w:rsidRPr="005014ED">
        <w:rPr>
          <w:lang w:val="en-AU"/>
        </w:rPr>
        <w:t xml:space="preserve"> the new propagation environment</w:t>
      </w:r>
      <w:r w:rsidR="00FB0E3E">
        <w:rPr>
          <w:lang w:val="en-AU"/>
        </w:rPr>
        <w:t xml:space="preserve"> in case of aggregated mode</w:t>
      </w:r>
      <w:r>
        <w:rPr>
          <w:lang w:val="en-AU"/>
        </w:rPr>
        <w:t>. Hence, also here</w:t>
      </w:r>
      <w:r w:rsidRPr="005014ED">
        <w:rPr>
          <w:lang w:val="en-AU"/>
        </w:rPr>
        <w:t xml:space="preserve"> it would be beneficial to </w:t>
      </w:r>
      <w:r>
        <w:rPr>
          <w:lang w:val="en-AU"/>
        </w:rPr>
        <w:t xml:space="preserve">explicitly </w:t>
      </w:r>
      <w:r w:rsidRPr="005014ED">
        <w:rPr>
          <w:lang w:val="en-AU"/>
        </w:rPr>
        <w:t xml:space="preserve">reset the </w:t>
      </w:r>
      <w:r>
        <w:rPr>
          <w:lang w:val="en-AU"/>
        </w:rPr>
        <w:t>closed</w:t>
      </w:r>
      <w:r w:rsidRPr="005014ED">
        <w:rPr>
          <w:lang w:val="en-AU"/>
        </w:rPr>
        <w:t xml:space="preserve"> PC loop part</w:t>
      </w:r>
      <w:r w:rsidR="00FB0E3E">
        <w:rPr>
          <w:lang w:val="en-AU"/>
        </w:rPr>
        <w:t xml:space="preserve"> at selected occasions</w:t>
      </w:r>
      <w:r w:rsidRPr="005014ED">
        <w:rPr>
          <w:lang w:val="en-AU"/>
        </w:rPr>
        <w:t>.</w:t>
      </w:r>
    </w:p>
    <w:p w14:paraId="704BC38E" w14:textId="1522C134" w:rsidR="005014ED" w:rsidRDefault="005014ED" w:rsidP="005014ED">
      <w:pPr>
        <w:pStyle w:val="BodyText"/>
        <w:keepLines/>
        <w:numPr>
          <w:ilvl w:val="0"/>
          <w:numId w:val="17"/>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lang w:val="en-AU"/>
        </w:rPr>
      </w:pPr>
      <w:r>
        <w:rPr>
          <w:lang w:val="en-AU"/>
        </w:rPr>
        <w:t>Furthermore, at least if multiple closed loop</w:t>
      </w:r>
      <w:r w:rsidR="00FB0E3E">
        <w:rPr>
          <w:lang w:val="en-AU"/>
        </w:rPr>
        <w:t>s</w:t>
      </w:r>
      <w:r>
        <w:rPr>
          <w:lang w:val="en-AU"/>
        </w:rPr>
        <w:t xml:space="preserve"> </w:t>
      </w:r>
      <w:r w:rsidR="00FB0E3E">
        <w:rPr>
          <w:lang w:val="en-AU"/>
        </w:rPr>
        <w:t>are</w:t>
      </w:r>
      <w:r>
        <w:rPr>
          <w:lang w:val="en-AU"/>
        </w:rPr>
        <w:t xml:space="preserve"> supported in the case of beam specific power control the situation when a beam has not been used for PUSCH for a long time implies that the closed loop part </w:t>
      </w:r>
      <w:r w:rsidR="00FB0E3E">
        <w:rPr>
          <w:lang w:val="en-AU"/>
        </w:rPr>
        <w:t>may be</w:t>
      </w:r>
      <w:r>
        <w:rPr>
          <w:lang w:val="en-AU"/>
        </w:rPr>
        <w:t xml:space="preserve"> outdated since TPC will be applied to </w:t>
      </w:r>
      <w:r w:rsidR="00FB0E3E">
        <w:rPr>
          <w:lang w:val="en-AU"/>
        </w:rPr>
        <w:t xml:space="preserve">the </w:t>
      </w:r>
      <w:r>
        <w:rPr>
          <w:lang w:val="en-AU"/>
        </w:rPr>
        <w:t xml:space="preserve">PC loops used for PUSCH </w:t>
      </w:r>
      <w:r w:rsidR="00FB0E3E">
        <w:rPr>
          <w:lang w:val="en-AU"/>
        </w:rPr>
        <w:t>transmissions</w:t>
      </w:r>
      <w:r>
        <w:rPr>
          <w:lang w:val="en-AU"/>
        </w:rPr>
        <w:t xml:space="preserve">. Hence, </w:t>
      </w:r>
      <w:r w:rsidR="00FB0E3E">
        <w:rPr>
          <w:lang w:val="en-AU"/>
        </w:rPr>
        <w:t xml:space="preserve">also here </w:t>
      </w:r>
      <w:r>
        <w:rPr>
          <w:lang w:val="en-AU"/>
        </w:rPr>
        <w:t xml:space="preserve">it may be motivated to do an explicit reset </w:t>
      </w:r>
      <w:r w:rsidR="00F76FB5">
        <w:rPr>
          <w:lang w:val="en-AU"/>
        </w:rPr>
        <w:t xml:space="preserve">of </w:t>
      </w:r>
      <w:r>
        <w:rPr>
          <w:lang w:val="en-AU"/>
        </w:rPr>
        <w:t xml:space="preserve">the closed loop PC part. </w:t>
      </w:r>
    </w:p>
    <w:p w14:paraId="1D058248" w14:textId="66139779" w:rsidR="00DA2B6D" w:rsidRDefault="00B4758E" w:rsidP="00B4758E">
      <w:pPr>
        <w:pStyle w:val="BodyText"/>
        <w:keepLines/>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rPr>
          <w:lang w:val="en-AU"/>
        </w:rPr>
      </w:pPr>
      <w:r>
        <w:rPr>
          <w:lang w:val="en-AU"/>
        </w:rPr>
        <w:t>Based on this we propose</w:t>
      </w:r>
    </w:p>
    <w:p w14:paraId="1F2B2B8D" w14:textId="3DC6C6BB" w:rsidR="003A0E41" w:rsidRPr="00B4758E" w:rsidRDefault="00B4758E" w:rsidP="003A0E41">
      <w:pPr>
        <w:pStyle w:val="Proposal"/>
        <w:rPr>
          <w:lang w:val="en-AU"/>
        </w:rPr>
      </w:pPr>
      <w:bookmarkStart w:id="11" w:name="_Toc492484453"/>
      <w:bookmarkStart w:id="12" w:name="_Toc492494498"/>
      <w:bookmarkStart w:id="13" w:name="_Toc492586726"/>
      <w:r>
        <w:rPr>
          <w:lang w:val="en-AU"/>
        </w:rPr>
        <w:t>Support explicit reset of the closed loop PC part in case of aggregated mode.</w:t>
      </w:r>
      <w:bookmarkEnd w:id="11"/>
      <w:bookmarkEnd w:id="12"/>
      <w:bookmarkEnd w:id="13"/>
      <w:r>
        <w:rPr>
          <w:lang w:val="en-AU"/>
        </w:rPr>
        <w:t xml:space="preserve">  </w:t>
      </w:r>
    </w:p>
    <w:p w14:paraId="56327F3C" w14:textId="77777777" w:rsidR="00C01F33" w:rsidRPr="00CE0424" w:rsidRDefault="00C01F33" w:rsidP="003A0E41">
      <w:pPr>
        <w:pStyle w:val="Heading1"/>
      </w:pPr>
      <w:r w:rsidRPr="00CE0424">
        <w:t>Conclusion</w:t>
      </w:r>
      <w:r w:rsidR="00AE2FEB">
        <w:t>s</w:t>
      </w:r>
    </w:p>
    <w:p w14:paraId="04625758" w14:textId="77777777" w:rsidR="00474034"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4BBD808B" w14:textId="77777777" w:rsidR="00474034" w:rsidRPr="00474034" w:rsidRDefault="00474034">
      <w:pPr>
        <w:pStyle w:val="TOC1"/>
        <w:rPr>
          <w:rFonts w:asciiTheme="minorHAnsi" w:eastAsiaTheme="minorEastAsia" w:hAnsiTheme="minorHAnsi" w:cstheme="minorBidi"/>
          <w:b w:val="0"/>
          <w:sz w:val="22"/>
          <w:lang w:val="en-AU" w:eastAsia="sv-FI"/>
        </w:rPr>
      </w:pPr>
      <w:r>
        <w:t>Proposal 1</w:t>
      </w:r>
      <w:r w:rsidRPr="00474034">
        <w:rPr>
          <w:rFonts w:asciiTheme="minorHAnsi" w:eastAsiaTheme="minorEastAsia" w:hAnsiTheme="minorHAnsi" w:cstheme="minorBidi"/>
          <w:b w:val="0"/>
          <w:sz w:val="22"/>
          <w:lang w:val="en-AU" w:eastAsia="sv-FI"/>
        </w:rPr>
        <w:tab/>
      </w:r>
      <w:r>
        <w:t>Make a single closed loop process default and support multiple closed loop processes by configuration in case of beam specific PC.</w:t>
      </w:r>
    </w:p>
    <w:p w14:paraId="3FF92977" w14:textId="77777777" w:rsidR="00474034" w:rsidRPr="00474034" w:rsidRDefault="00474034">
      <w:pPr>
        <w:pStyle w:val="TOC1"/>
        <w:rPr>
          <w:rFonts w:asciiTheme="minorHAnsi" w:eastAsiaTheme="minorEastAsia" w:hAnsiTheme="minorHAnsi" w:cstheme="minorBidi"/>
          <w:b w:val="0"/>
          <w:sz w:val="22"/>
          <w:lang w:val="en-AU" w:eastAsia="sv-FI"/>
        </w:rPr>
      </w:pPr>
      <w:r w:rsidRPr="00866927">
        <w:rPr>
          <w:lang w:val="en-AU"/>
        </w:rPr>
        <w:t>Proposal 2</w:t>
      </w:r>
      <w:r w:rsidRPr="00474034">
        <w:rPr>
          <w:rFonts w:asciiTheme="minorHAnsi" w:eastAsiaTheme="minorEastAsia" w:hAnsiTheme="minorHAnsi" w:cstheme="minorBidi"/>
          <w:b w:val="0"/>
          <w:sz w:val="22"/>
          <w:lang w:val="en-AU" w:eastAsia="sv-FI"/>
        </w:rPr>
        <w:tab/>
      </w:r>
      <w:r w:rsidRPr="00866927">
        <w:rPr>
          <w:lang w:val="en-AU"/>
        </w:rPr>
        <w:t>Support explicit reset of the closed loop PC part in case of aggregated mode.</w:t>
      </w:r>
    </w:p>
    <w:p w14:paraId="60B357CF" w14:textId="05D40575" w:rsidR="00C01F33" w:rsidRPr="00790B99" w:rsidRDefault="00E5689D" w:rsidP="00E5689D">
      <w:pPr>
        <w:pStyle w:val="BodyText"/>
        <w:rPr>
          <w:b/>
          <w:bCs/>
        </w:rPr>
      </w:pPr>
      <w:r>
        <w:rPr>
          <w:b/>
          <w:bCs/>
        </w:rPr>
        <w:fldChar w:fldCharType="end"/>
      </w:r>
    </w:p>
    <w:p w14:paraId="3BC9304B" w14:textId="094EBFF4" w:rsidR="003A7EF3" w:rsidRPr="00CE0424" w:rsidRDefault="003A7EF3" w:rsidP="00FB0E3E">
      <w:pPr>
        <w:pStyle w:val="Reference"/>
        <w:numPr>
          <w:ilvl w:val="0"/>
          <w:numId w:val="0"/>
        </w:numPr>
      </w:pPr>
      <w:bookmarkStart w:id="14" w:name="_In-sequence_SDU_delivery"/>
      <w:bookmarkEnd w:id="14"/>
    </w:p>
    <w:sectPr w:rsidR="003A7EF3" w:rsidRPr="00CE0424" w:rsidSect="00C02A4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0E340" w14:textId="77777777" w:rsidR="00CC04FC" w:rsidRDefault="00CC04FC">
      <w:r>
        <w:separator/>
      </w:r>
    </w:p>
  </w:endnote>
  <w:endnote w:type="continuationSeparator" w:id="0">
    <w:p w14:paraId="6A2FA1DD" w14:textId="77777777" w:rsidR="00CC04FC" w:rsidRDefault="00CC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B4FFA" w14:textId="77777777" w:rsidR="00441306" w:rsidRDefault="00441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69F974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130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1306">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C91D0" w14:textId="77777777" w:rsidR="00441306" w:rsidRDefault="00441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F4E0E" w14:textId="77777777" w:rsidR="00CC04FC" w:rsidRDefault="00CC04FC">
      <w:r>
        <w:separator/>
      </w:r>
    </w:p>
  </w:footnote>
  <w:footnote w:type="continuationSeparator" w:id="0">
    <w:p w14:paraId="4DA21E87" w14:textId="77777777" w:rsidR="00CC04FC" w:rsidRDefault="00CC0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079AB" w14:textId="77777777" w:rsidR="00441306" w:rsidRDefault="004413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19316" w14:textId="77777777" w:rsidR="00441306" w:rsidRDefault="00441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E7BA6638"/>
    <w:lvl w:ilvl="0">
      <w:start w:val="1"/>
      <w:numFmt w:val="decimal"/>
      <w:lvlText w:val="%1"/>
      <w:lvlJc w:val="left"/>
      <w:pPr>
        <w:tabs>
          <w:tab w:val="num" w:pos="2160"/>
        </w:tabs>
        <w:ind w:left="4711" w:hanging="1304"/>
      </w:pPr>
      <w:rPr>
        <w:rFonts w:hint="default"/>
        <w:u w:val="none"/>
      </w:rPr>
    </w:lvl>
    <w:lvl w:ilvl="1">
      <w:start w:val="1"/>
      <w:numFmt w:val="decimal"/>
      <w:lvlText w:val="%1.%2"/>
      <w:lvlJc w:val="left"/>
      <w:pPr>
        <w:tabs>
          <w:tab w:val="num" w:pos="2160"/>
        </w:tabs>
        <w:ind w:left="4711" w:hanging="1304"/>
      </w:pPr>
      <w:rPr>
        <w:rFonts w:hint="default"/>
        <w:u w:val="none"/>
      </w:rPr>
    </w:lvl>
    <w:lvl w:ilvl="2">
      <w:start w:val="1"/>
      <w:numFmt w:val="decimal"/>
      <w:lvlText w:val="%1.%2.%3"/>
      <w:lvlJc w:val="left"/>
      <w:pPr>
        <w:tabs>
          <w:tab w:val="num" w:pos="2160"/>
        </w:tabs>
        <w:ind w:left="4711" w:hanging="1304"/>
      </w:pPr>
      <w:rPr>
        <w:rFonts w:hint="default"/>
        <w:u w:val="none"/>
      </w:rPr>
    </w:lvl>
    <w:lvl w:ilvl="3">
      <w:start w:val="1"/>
      <w:numFmt w:val="decimal"/>
      <w:lvlText w:val="%1.%2.%3.%4"/>
      <w:lvlJc w:val="left"/>
      <w:pPr>
        <w:tabs>
          <w:tab w:val="num" w:pos="2160"/>
        </w:tabs>
        <w:ind w:left="4711" w:hanging="1304"/>
      </w:pPr>
      <w:rPr>
        <w:rFonts w:hint="default"/>
        <w:u w:val="none"/>
      </w:rPr>
    </w:lvl>
    <w:lvl w:ilvl="4">
      <w:start w:val="1"/>
      <w:numFmt w:val="decimal"/>
      <w:lvlText w:val="%1.%2.%3.%4.%5"/>
      <w:lvlJc w:val="left"/>
      <w:pPr>
        <w:tabs>
          <w:tab w:val="num" w:pos="2160"/>
        </w:tabs>
        <w:ind w:left="4712" w:hanging="1248"/>
      </w:pPr>
      <w:rPr>
        <w:rFonts w:hint="default"/>
      </w:rPr>
    </w:lvl>
    <w:lvl w:ilvl="5">
      <w:start w:val="1"/>
      <w:numFmt w:val="decimal"/>
      <w:lvlText w:val="%1.%2.%3.%4.%5.%6"/>
      <w:lvlJc w:val="left"/>
      <w:pPr>
        <w:tabs>
          <w:tab w:val="num" w:pos="2160"/>
        </w:tabs>
        <w:ind w:left="2160" w:firstLine="0"/>
      </w:pPr>
      <w:rPr>
        <w:rFonts w:hint="default"/>
      </w:rPr>
    </w:lvl>
    <w:lvl w:ilvl="6">
      <w:start w:val="1"/>
      <w:numFmt w:val="decimal"/>
      <w:lvlText w:val="%1.%2.%3.%4.%5.%6.%7"/>
      <w:lvlJc w:val="left"/>
      <w:pPr>
        <w:tabs>
          <w:tab w:val="num" w:pos="2160"/>
        </w:tabs>
        <w:ind w:left="2160" w:firstLine="0"/>
      </w:pPr>
      <w:rPr>
        <w:rFonts w:hint="default"/>
      </w:rPr>
    </w:lvl>
    <w:lvl w:ilvl="7">
      <w:start w:val="1"/>
      <w:numFmt w:val="decimal"/>
      <w:lvlText w:val="%1.%2.%3.%4.%5.%6.%7.%8"/>
      <w:lvlJc w:val="left"/>
      <w:pPr>
        <w:tabs>
          <w:tab w:val="num" w:pos="2160"/>
        </w:tabs>
        <w:ind w:left="2160" w:firstLine="0"/>
      </w:pPr>
      <w:rPr>
        <w:rFonts w:hint="default"/>
      </w:rPr>
    </w:lvl>
    <w:lvl w:ilvl="8">
      <w:start w:val="1"/>
      <w:numFmt w:val="decimal"/>
      <w:lvlText w:val="%1.%2.%3.%4.%5.%6.%7.%8.%9"/>
      <w:lvlJc w:val="left"/>
      <w:pPr>
        <w:tabs>
          <w:tab w:val="num" w:pos="2160"/>
        </w:tabs>
        <w:ind w:left="2160"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294BC0"/>
    <w:multiLevelType w:val="hybridMultilevel"/>
    <w:tmpl w:val="87DC9F3E"/>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34C83"/>
    <w:multiLevelType w:val="hybridMultilevel"/>
    <w:tmpl w:val="EA348946"/>
    <w:lvl w:ilvl="0" w:tplc="081D0001">
      <w:start w:val="1"/>
      <w:numFmt w:val="bullet"/>
      <w:lvlText w:val=""/>
      <w:lvlJc w:val="left"/>
      <w:pPr>
        <w:ind w:left="360" w:hanging="360"/>
      </w:pPr>
      <w:rPr>
        <w:rFonts w:ascii="Symbol" w:hAnsi="Symbol" w:hint="default"/>
      </w:rPr>
    </w:lvl>
    <w:lvl w:ilvl="1" w:tplc="081D0003">
      <w:start w:val="1"/>
      <w:numFmt w:val="bullet"/>
      <w:lvlText w:val="o"/>
      <w:lvlJc w:val="left"/>
      <w:pPr>
        <w:ind w:left="1080" w:hanging="360"/>
      </w:pPr>
      <w:rPr>
        <w:rFonts w:ascii="Courier New" w:hAnsi="Courier New" w:cs="Courier New" w:hint="default"/>
      </w:rPr>
    </w:lvl>
    <w:lvl w:ilvl="2" w:tplc="081D0005" w:tentative="1">
      <w:start w:val="1"/>
      <w:numFmt w:val="bullet"/>
      <w:lvlText w:val=""/>
      <w:lvlJc w:val="left"/>
      <w:pPr>
        <w:ind w:left="1800" w:hanging="360"/>
      </w:pPr>
      <w:rPr>
        <w:rFonts w:ascii="Wingdings" w:hAnsi="Wingdings" w:hint="default"/>
      </w:rPr>
    </w:lvl>
    <w:lvl w:ilvl="3" w:tplc="081D0001" w:tentative="1">
      <w:start w:val="1"/>
      <w:numFmt w:val="bullet"/>
      <w:lvlText w:val=""/>
      <w:lvlJc w:val="left"/>
      <w:pPr>
        <w:ind w:left="2520" w:hanging="360"/>
      </w:pPr>
      <w:rPr>
        <w:rFonts w:ascii="Symbol" w:hAnsi="Symbol" w:hint="default"/>
      </w:rPr>
    </w:lvl>
    <w:lvl w:ilvl="4" w:tplc="081D0003" w:tentative="1">
      <w:start w:val="1"/>
      <w:numFmt w:val="bullet"/>
      <w:lvlText w:val="o"/>
      <w:lvlJc w:val="left"/>
      <w:pPr>
        <w:ind w:left="3240" w:hanging="360"/>
      </w:pPr>
      <w:rPr>
        <w:rFonts w:ascii="Courier New" w:hAnsi="Courier New" w:cs="Courier New" w:hint="default"/>
      </w:rPr>
    </w:lvl>
    <w:lvl w:ilvl="5" w:tplc="081D0005" w:tentative="1">
      <w:start w:val="1"/>
      <w:numFmt w:val="bullet"/>
      <w:lvlText w:val=""/>
      <w:lvlJc w:val="left"/>
      <w:pPr>
        <w:ind w:left="3960" w:hanging="360"/>
      </w:pPr>
      <w:rPr>
        <w:rFonts w:ascii="Wingdings" w:hAnsi="Wingdings" w:hint="default"/>
      </w:rPr>
    </w:lvl>
    <w:lvl w:ilvl="6" w:tplc="081D0001" w:tentative="1">
      <w:start w:val="1"/>
      <w:numFmt w:val="bullet"/>
      <w:lvlText w:val=""/>
      <w:lvlJc w:val="left"/>
      <w:pPr>
        <w:ind w:left="4680" w:hanging="360"/>
      </w:pPr>
      <w:rPr>
        <w:rFonts w:ascii="Symbol" w:hAnsi="Symbol" w:hint="default"/>
      </w:rPr>
    </w:lvl>
    <w:lvl w:ilvl="7" w:tplc="081D0003" w:tentative="1">
      <w:start w:val="1"/>
      <w:numFmt w:val="bullet"/>
      <w:lvlText w:val="o"/>
      <w:lvlJc w:val="left"/>
      <w:pPr>
        <w:ind w:left="5400" w:hanging="360"/>
      </w:pPr>
      <w:rPr>
        <w:rFonts w:ascii="Courier New" w:hAnsi="Courier New" w:cs="Courier New" w:hint="default"/>
      </w:rPr>
    </w:lvl>
    <w:lvl w:ilvl="8" w:tplc="081D0005" w:tentative="1">
      <w:start w:val="1"/>
      <w:numFmt w:val="bullet"/>
      <w:lvlText w:val=""/>
      <w:lvlJc w:val="left"/>
      <w:pPr>
        <w:ind w:left="612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6C7450"/>
    <w:multiLevelType w:val="hybridMultilevel"/>
    <w:tmpl w:val="EDA098D0"/>
    <w:lvl w:ilvl="0" w:tplc="081D0001">
      <w:start w:val="1"/>
      <w:numFmt w:val="bullet"/>
      <w:lvlText w:val=""/>
      <w:lvlJc w:val="left"/>
      <w:pPr>
        <w:ind w:left="770" w:hanging="360"/>
      </w:pPr>
      <w:rPr>
        <w:rFonts w:ascii="Symbol" w:hAnsi="Symbol" w:hint="default"/>
      </w:rPr>
    </w:lvl>
    <w:lvl w:ilvl="1" w:tplc="081D0003" w:tentative="1">
      <w:start w:val="1"/>
      <w:numFmt w:val="bullet"/>
      <w:lvlText w:val="o"/>
      <w:lvlJc w:val="left"/>
      <w:pPr>
        <w:ind w:left="1490" w:hanging="360"/>
      </w:pPr>
      <w:rPr>
        <w:rFonts w:ascii="Courier New" w:hAnsi="Courier New" w:cs="Courier New" w:hint="default"/>
      </w:rPr>
    </w:lvl>
    <w:lvl w:ilvl="2" w:tplc="081D0005" w:tentative="1">
      <w:start w:val="1"/>
      <w:numFmt w:val="bullet"/>
      <w:lvlText w:val=""/>
      <w:lvlJc w:val="left"/>
      <w:pPr>
        <w:ind w:left="2210" w:hanging="360"/>
      </w:pPr>
      <w:rPr>
        <w:rFonts w:ascii="Wingdings" w:hAnsi="Wingdings" w:hint="default"/>
      </w:rPr>
    </w:lvl>
    <w:lvl w:ilvl="3" w:tplc="081D0001" w:tentative="1">
      <w:start w:val="1"/>
      <w:numFmt w:val="bullet"/>
      <w:lvlText w:val=""/>
      <w:lvlJc w:val="left"/>
      <w:pPr>
        <w:ind w:left="2930" w:hanging="360"/>
      </w:pPr>
      <w:rPr>
        <w:rFonts w:ascii="Symbol" w:hAnsi="Symbol" w:hint="default"/>
      </w:rPr>
    </w:lvl>
    <w:lvl w:ilvl="4" w:tplc="081D0003" w:tentative="1">
      <w:start w:val="1"/>
      <w:numFmt w:val="bullet"/>
      <w:lvlText w:val="o"/>
      <w:lvlJc w:val="left"/>
      <w:pPr>
        <w:ind w:left="3650" w:hanging="360"/>
      </w:pPr>
      <w:rPr>
        <w:rFonts w:ascii="Courier New" w:hAnsi="Courier New" w:cs="Courier New" w:hint="default"/>
      </w:rPr>
    </w:lvl>
    <w:lvl w:ilvl="5" w:tplc="081D0005" w:tentative="1">
      <w:start w:val="1"/>
      <w:numFmt w:val="bullet"/>
      <w:lvlText w:val=""/>
      <w:lvlJc w:val="left"/>
      <w:pPr>
        <w:ind w:left="4370" w:hanging="360"/>
      </w:pPr>
      <w:rPr>
        <w:rFonts w:ascii="Wingdings" w:hAnsi="Wingdings" w:hint="default"/>
      </w:rPr>
    </w:lvl>
    <w:lvl w:ilvl="6" w:tplc="081D0001" w:tentative="1">
      <w:start w:val="1"/>
      <w:numFmt w:val="bullet"/>
      <w:lvlText w:val=""/>
      <w:lvlJc w:val="left"/>
      <w:pPr>
        <w:ind w:left="5090" w:hanging="360"/>
      </w:pPr>
      <w:rPr>
        <w:rFonts w:ascii="Symbol" w:hAnsi="Symbol" w:hint="default"/>
      </w:rPr>
    </w:lvl>
    <w:lvl w:ilvl="7" w:tplc="081D0003" w:tentative="1">
      <w:start w:val="1"/>
      <w:numFmt w:val="bullet"/>
      <w:lvlText w:val="o"/>
      <w:lvlJc w:val="left"/>
      <w:pPr>
        <w:ind w:left="5810" w:hanging="360"/>
      </w:pPr>
      <w:rPr>
        <w:rFonts w:ascii="Courier New" w:hAnsi="Courier New" w:cs="Courier New" w:hint="default"/>
      </w:rPr>
    </w:lvl>
    <w:lvl w:ilvl="8" w:tplc="081D0005" w:tentative="1">
      <w:start w:val="1"/>
      <w:numFmt w:val="bullet"/>
      <w:lvlText w:val=""/>
      <w:lvlJc w:val="left"/>
      <w:pPr>
        <w:ind w:left="6530" w:hanging="360"/>
      </w:pPr>
      <w:rPr>
        <w:rFonts w:ascii="Wingdings" w:hAnsi="Wingdings" w:hint="default"/>
      </w:rPr>
    </w:lvl>
  </w:abstractNum>
  <w:abstractNum w:abstractNumId="19" w15:restartNumberingAfterBreak="0">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10"/>
  </w:num>
  <w:num w:numId="15">
    <w:abstractNumId w:val="5"/>
  </w:num>
  <w:num w:numId="16">
    <w:abstractNumId w:val="3"/>
  </w:num>
  <w:num w:numId="17">
    <w:abstractNumId w:val="16"/>
  </w:num>
  <w:num w:numId="18">
    <w:abstractNumId w:val="19"/>
  </w:num>
  <w:num w:numId="19">
    <w:abstractNumId w:val="6"/>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3C74"/>
    <w:rsid w:val="0002564D"/>
    <w:rsid w:val="00025ECA"/>
    <w:rsid w:val="00030B30"/>
    <w:rsid w:val="000325B8"/>
    <w:rsid w:val="00034C15"/>
    <w:rsid w:val="00036BA1"/>
    <w:rsid w:val="00042009"/>
    <w:rsid w:val="000422E2"/>
    <w:rsid w:val="00042F22"/>
    <w:rsid w:val="000444EF"/>
    <w:rsid w:val="00045C3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0F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2C7"/>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BC9"/>
    <w:rsid w:val="001A6CBA"/>
    <w:rsid w:val="001B0D97"/>
    <w:rsid w:val="001B5A5D"/>
    <w:rsid w:val="001C1CE5"/>
    <w:rsid w:val="001C3D2A"/>
    <w:rsid w:val="001C7E33"/>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32F"/>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495"/>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2A95"/>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306"/>
    <w:rsid w:val="00441782"/>
    <w:rsid w:val="00441A92"/>
    <w:rsid w:val="00444F56"/>
    <w:rsid w:val="00446488"/>
    <w:rsid w:val="004517AA"/>
    <w:rsid w:val="0045243A"/>
    <w:rsid w:val="00452CAC"/>
    <w:rsid w:val="00457565"/>
    <w:rsid w:val="00457B71"/>
    <w:rsid w:val="0046547D"/>
    <w:rsid w:val="00465ABC"/>
    <w:rsid w:val="004669E2"/>
    <w:rsid w:val="00470C31"/>
    <w:rsid w:val="004734D0"/>
    <w:rsid w:val="00474034"/>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14ED"/>
    <w:rsid w:val="00506557"/>
    <w:rsid w:val="0050677A"/>
    <w:rsid w:val="005108D8"/>
    <w:rsid w:val="005116F9"/>
    <w:rsid w:val="005153A7"/>
    <w:rsid w:val="005219CF"/>
    <w:rsid w:val="00534B59"/>
    <w:rsid w:val="00536759"/>
    <w:rsid w:val="00537C62"/>
    <w:rsid w:val="00546970"/>
    <w:rsid w:val="00554192"/>
    <w:rsid w:val="00554E19"/>
    <w:rsid w:val="00555D12"/>
    <w:rsid w:val="0056121F"/>
    <w:rsid w:val="00566162"/>
    <w:rsid w:val="00572505"/>
    <w:rsid w:val="00575DA6"/>
    <w:rsid w:val="00582809"/>
    <w:rsid w:val="00583D71"/>
    <w:rsid w:val="0058798C"/>
    <w:rsid w:val="005900FA"/>
    <w:rsid w:val="00590829"/>
    <w:rsid w:val="005935A4"/>
    <w:rsid w:val="005948C2"/>
    <w:rsid w:val="00595DCA"/>
    <w:rsid w:val="0059779B"/>
    <w:rsid w:val="005A209A"/>
    <w:rsid w:val="005A662D"/>
    <w:rsid w:val="005B35D7"/>
    <w:rsid w:val="005B392A"/>
    <w:rsid w:val="005B3AA3"/>
    <w:rsid w:val="005B6F83"/>
    <w:rsid w:val="005C0267"/>
    <w:rsid w:val="005C0F1C"/>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ABB"/>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1D0"/>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90D"/>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5D4F"/>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4758E"/>
    <w:rsid w:val="00B61E3F"/>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D66"/>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04FC"/>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609"/>
    <w:rsid w:val="00D03B90"/>
    <w:rsid w:val="00D10249"/>
    <w:rsid w:val="00D115C3"/>
    <w:rsid w:val="00D11897"/>
    <w:rsid w:val="00D13135"/>
    <w:rsid w:val="00D13E4E"/>
    <w:rsid w:val="00D239A7"/>
    <w:rsid w:val="00D23F47"/>
    <w:rsid w:val="00D31647"/>
    <w:rsid w:val="00D36E71"/>
    <w:rsid w:val="00D37D87"/>
    <w:rsid w:val="00D40B33"/>
    <w:rsid w:val="00D4318F"/>
    <w:rsid w:val="00D438BF"/>
    <w:rsid w:val="00D440F8"/>
    <w:rsid w:val="00D546FF"/>
    <w:rsid w:val="00D5549C"/>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B6D"/>
    <w:rsid w:val="00DA305E"/>
    <w:rsid w:val="00DA5417"/>
    <w:rsid w:val="00DA56E8"/>
    <w:rsid w:val="00DB0A9F"/>
    <w:rsid w:val="00DB377D"/>
    <w:rsid w:val="00DC2D36"/>
    <w:rsid w:val="00DC53EF"/>
    <w:rsid w:val="00DC564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4E23"/>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2053"/>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6FB5"/>
    <w:rsid w:val="00F804BE"/>
    <w:rsid w:val="00F817CE"/>
    <w:rsid w:val="00F8456C"/>
    <w:rsid w:val="00F859D8"/>
    <w:rsid w:val="00F868F5"/>
    <w:rsid w:val="00F9056A"/>
    <w:rsid w:val="00F90F8D"/>
    <w:rsid w:val="00F92782"/>
    <w:rsid w:val="00F93AA9"/>
    <w:rsid w:val="00F96985"/>
    <w:rsid w:val="00F97838"/>
    <w:rsid w:val="00FA2BB3"/>
    <w:rsid w:val="00FB0E3E"/>
    <w:rsid w:val="00FB4C80"/>
    <w:rsid w:val="00FB67CB"/>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A5B3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7A5B3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jc w:val="left"/>
    </w:pPr>
    <w:rPr>
      <w:noProof/>
      <w:lang w:eastAsia="en-US"/>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jc w:val="left"/>
    </w:pPr>
    <w:rPr>
      <w:color w:val="FF0000"/>
      <w:lang w:eastAsia="en-US"/>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A5B38"/>
    <w:rPr>
      <w:rFonts w:ascii="Arial" w:hAnsi="Arial" w:cs="Arial"/>
      <w:sz w:val="32"/>
      <w:szCs w:val="36"/>
      <w:lang w:val="en-GB" w:eastAsia="zh-CN"/>
    </w:rPr>
  </w:style>
  <w:style w:type="paragraph" w:customStyle="1" w:styleId="B1">
    <w:name w:val="B1"/>
    <w:basedOn w:val="List"/>
    <w:rsid w:val="007A5B38"/>
    <w:pPr>
      <w:spacing w:after="180"/>
      <w:jc w:val="left"/>
    </w:pPr>
    <w:rPr>
      <w:lang w:eastAsia="en-US"/>
    </w:rPr>
  </w:style>
  <w:style w:type="paragraph" w:customStyle="1" w:styleId="B2">
    <w:name w:val="B2"/>
    <w:basedOn w:val="List2"/>
    <w:rsid w:val="007A5B38"/>
    <w:pPr>
      <w:spacing w:after="180"/>
      <w:jc w:val="left"/>
    </w:pPr>
    <w:rPr>
      <w:lang w:eastAsia="en-US"/>
    </w:rPr>
  </w:style>
  <w:style w:type="paragraph" w:customStyle="1" w:styleId="B3">
    <w:name w:val="B3"/>
    <w:basedOn w:val="List3"/>
    <w:rsid w:val="007A5B38"/>
    <w:pPr>
      <w:spacing w:after="180"/>
      <w:jc w:val="left"/>
    </w:pPr>
    <w:rPr>
      <w:lang w:eastAsia="en-US"/>
    </w:rPr>
  </w:style>
  <w:style w:type="paragraph" w:customStyle="1" w:styleId="B4">
    <w:name w:val="B4"/>
    <w:basedOn w:val="List4"/>
    <w:rsid w:val="007A5B38"/>
    <w:pPr>
      <w:spacing w:after="180"/>
      <w:jc w:val="left"/>
    </w:pPr>
    <w:rPr>
      <w:lang w:eastAsia="en-US"/>
    </w:r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jc w:val="left"/>
    </w:pPr>
    <w:rPr>
      <w:lang w:eastAsia="en-US"/>
    </w:rPr>
  </w:style>
  <w:style w:type="paragraph" w:customStyle="1" w:styleId="EX">
    <w:name w:val="EX"/>
    <w:basedOn w:val="Normal"/>
    <w:rsid w:val="007A5B38"/>
    <w:pPr>
      <w:keepLines/>
      <w:spacing w:after="180"/>
      <w:ind w:left="1702" w:hanging="1418"/>
      <w:jc w:val="left"/>
    </w:pPr>
    <w:rPr>
      <w:lang w:eastAsia="en-US"/>
    </w:r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jc w:val="left"/>
    </w:pPr>
    <w:rPr>
      <w:sz w:val="18"/>
      <w:lang w:eastAsia="en-US"/>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lang w:eastAsia="en-US"/>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jc w:val="left"/>
    </w:pPr>
    <w:rPr>
      <w:lang w:eastAsia="en-US"/>
    </w:r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jc w:val="left"/>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95B02-A4B7-4A36-9D54-5C4FBBCAD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2017-09-12T03:16:00Z</dcterms:created>
  <dcterms:modified xsi:type="dcterms:W3CDTF">2017-09-12T03:16:00Z</dcterms:modified>
</cp:coreProperties>
</file>